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70" w:rsidRDefault="00F24270">
      <w:pPr>
        <w:widowControl/>
        <w:overflowPunct/>
        <w:autoSpaceDE/>
        <w:autoSpaceDN/>
        <w:adjustRightInd/>
        <w:textAlignment w:val="auto"/>
        <w:rPr>
          <w:rFonts w:eastAsia="PMingLiU"/>
          <w:b/>
          <w:bCs/>
          <w:szCs w:val="22"/>
          <w:lang w:val="pl-PL"/>
        </w:rPr>
      </w:pPr>
    </w:p>
    <w:p w:rsidR="00F24270" w:rsidRDefault="00F24270">
      <w:pPr>
        <w:widowControl/>
        <w:overflowPunct/>
        <w:autoSpaceDE/>
        <w:autoSpaceDN/>
        <w:adjustRightInd/>
        <w:textAlignment w:val="auto"/>
        <w:rPr>
          <w:rFonts w:eastAsia="PMingLiU"/>
          <w:b/>
          <w:bCs/>
          <w:szCs w:val="22"/>
          <w:lang w:val="pl-PL"/>
        </w:rPr>
      </w:pPr>
    </w:p>
    <w:p w:rsidR="00F24270" w:rsidRDefault="00B836A0">
      <w:pPr>
        <w:widowControl/>
        <w:overflowPunct/>
        <w:autoSpaceDE/>
        <w:autoSpaceDN/>
        <w:adjustRightInd/>
        <w:jc w:val="center"/>
        <w:textAlignment w:val="auto"/>
        <w:rPr>
          <w:rFonts w:eastAsia="PMingLiU"/>
          <w:b/>
          <w:bCs/>
          <w:i/>
          <w:szCs w:val="22"/>
          <w:lang w:val="pl-PL"/>
        </w:rPr>
      </w:pPr>
      <w:r>
        <w:rPr>
          <w:rFonts w:ascii="Arial" w:hAnsi="Arial" w:cs="Arial"/>
          <w:b/>
          <w:lang w:val="pl-PL"/>
        </w:rPr>
        <w:t>O</w:t>
      </w:r>
      <w:r>
        <w:rPr>
          <w:rFonts w:ascii="Arial" w:eastAsia="Calibri" w:hAnsi="Arial" w:cs="Arial"/>
          <w:b/>
          <w:lang w:val="pl-PL"/>
        </w:rPr>
        <w:t xml:space="preserve">pinia Zarządu Trakcja </w:t>
      </w:r>
      <w:proofErr w:type="spellStart"/>
      <w:r>
        <w:rPr>
          <w:rFonts w:ascii="Arial" w:eastAsia="Calibri" w:hAnsi="Arial" w:cs="Arial"/>
          <w:b/>
          <w:lang w:val="pl-PL"/>
        </w:rPr>
        <w:t>PRKil</w:t>
      </w:r>
      <w:proofErr w:type="spellEnd"/>
      <w:r>
        <w:rPr>
          <w:rFonts w:ascii="Arial" w:eastAsia="Calibri" w:hAnsi="Arial" w:cs="Arial"/>
          <w:b/>
          <w:lang w:val="pl-PL"/>
        </w:rPr>
        <w:t xml:space="preserve"> S.A. uzasadniająca przyczyny pozbawienia akcjonariuszy prawa poboru Akcji Serii B oraz Akcji Serii C oraz sposób ustalenia ceny emisyjnej tych akcji</w:t>
      </w:r>
    </w:p>
    <w:p w:rsidR="00F24270" w:rsidRDefault="00F24270">
      <w:pPr>
        <w:widowControl/>
        <w:overflowPunct/>
        <w:autoSpaceDE/>
        <w:autoSpaceDN/>
        <w:adjustRightInd/>
        <w:textAlignment w:val="auto"/>
        <w:rPr>
          <w:rFonts w:eastAsia="PMingLiU"/>
          <w:b/>
          <w:bCs/>
          <w:i/>
          <w:szCs w:val="22"/>
          <w:lang w:val="pl-PL"/>
        </w:rPr>
      </w:pP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i/>
          <w:iCs/>
          <w:szCs w:val="22"/>
          <w:lang w:val="pl-PL"/>
        </w:rPr>
      </w:pPr>
      <w:r>
        <w:rPr>
          <w:rFonts w:eastAsia="PMingLiU"/>
          <w:i/>
          <w:iCs/>
          <w:szCs w:val="22"/>
          <w:lang w:val="pl-PL"/>
        </w:rPr>
        <w:t xml:space="preserve">Niniejsza opinia Zarządu spółki Trakcja PRKiI S.A. </w:t>
      </w:r>
      <w:r>
        <w:rPr>
          <w:i/>
          <w:lang w:val="pl-PL"/>
        </w:rPr>
        <w:t>(„</w:t>
      </w:r>
      <w:r>
        <w:rPr>
          <w:b/>
          <w:i/>
          <w:lang w:val="pl-PL"/>
        </w:rPr>
        <w:t>Spółka</w:t>
      </w:r>
      <w:r>
        <w:rPr>
          <w:i/>
          <w:lang w:val="pl-PL"/>
        </w:rPr>
        <w:t>”)</w:t>
      </w:r>
      <w:r>
        <w:rPr>
          <w:rFonts w:eastAsia="PMingLiU"/>
          <w:i/>
          <w:iCs/>
          <w:szCs w:val="22"/>
          <w:lang w:val="pl-PL"/>
        </w:rPr>
        <w:t xml:space="preserve"> stanowi uzasadnienie pozbawienia akcjonariu</w:t>
      </w:r>
      <w:r>
        <w:rPr>
          <w:rFonts w:eastAsia="PMingLiU"/>
          <w:i/>
          <w:iCs/>
          <w:szCs w:val="22"/>
          <w:lang w:val="pl-PL"/>
        </w:rPr>
        <w:t>szy prawa poboru akcji nowej emisji serii B oraz serii C oraz sposobu ustalenia ceny emisyjnej akcji tych serii. Opinia została sporządzona na podstawie art. 433 § 2 Kodeksu spółek handlowych.</w:t>
      </w:r>
    </w:p>
    <w:p w:rsidR="00F24270" w:rsidRDefault="00B836A0">
      <w:pPr>
        <w:widowControl/>
        <w:spacing w:after="240"/>
        <w:rPr>
          <w:lang w:val="pl-PL"/>
        </w:rPr>
      </w:pPr>
      <w:r>
        <w:rPr>
          <w:lang w:val="pl-PL"/>
        </w:rPr>
        <w:t>Emisja akcji zwykłych na okaziciela serii B, o wartości nominal</w:t>
      </w:r>
      <w:r>
        <w:rPr>
          <w:lang w:val="pl-PL"/>
        </w:rPr>
        <w:t>nej 0,80 zł (osiemdziesiąt groszy) każda („</w:t>
      </w:r>
      <w:r>
        <w:rPr>
          <w:b/>
          <w:lang w:val="pl-PL"/>
        </w:rPr>
        <w:t>Akcje Serii B</w:t>
      </w:r>
      <w:r>
        <w:rPr>
          <w:lang w:val="pl-PL"/>
        </w:rPr>
        <w:t>”) oraz akcji zwykłych imiennych serii C, o wartości nominalnej 0,80 zł (osiemdziesiąt groszy) każda  („</w:t>
      </w:r>
      <w:r>
        <w:rPr>
          <w:b/>
          <w:lang w:val="pl-PL"/>
        </w:rPr>
        <w:t>Akcje Serii C</w:t>
      </w:r>
      <w:r>
        <w:rPr>
          <w:lang w:val="pl-PL"/>
        </w:rPr>
        <w:t>”) ma zostać przeprowadzona na warunkach określonych w projekcie Uchwały nr 3 Nadzw</w:t>
      </w:r>
      <w:r>
        <w:rPr>
          <w:lang w:val="pl-PL"/>
        </w:rPr>
        <w:t xml:space="preserve">yczajnego Walnego Zgromadzenia Spółki zwołanego na dzień </w:t>
      </w:r>
      <w:r>
        <w:rPr>
          <w:lang w:val="pl-PL"/>
        </w:rPr>
        <w:t xml:space="preserve">13 </w:t>
      </w:r>
      <w:r>
        <w:rPr>
          <w:lang w:val="pl-PL"/>
        </w:rPr>
        <w:t xml:space="preserve">września </w:t>
      </w:r>
      <w:r>
        <w:rPr>
          <w:lang w:val="pl-PL"/>
        </w:rPr>
        <w:t>2019 roku, w trybie subskrypcji prywatnej, o której mowa w art 431 § 2 pkt 1) Kodeksu spółek handlowych, która  będzie skierowana do nie więcej niż 149 potencjalnych, oznaczony</w:t>
      </w:r>
      <w:r>
        <w:rPr>
          <w:lang w:val="pl-PL"/>
        </w:rPr>
        <w:t>ch inwestorów. Zgodnie z projektem uchwały nr 3 Nadzwyczajnego Walnego Zgromadzenia Spółki zwołanego na dzień 13 września 2019 roku, oferty objęcia Akcji Serii B oraz Akcji Serii C mają zostać skierowane zgodnie z poniższymi zasadami:</w:t>
      </w:r>
    </w:p>
    <w:p w:rsidR="00F24270" w:rsidRDefault="00B836A0">
      <w:pPr>
        <w:widowControl/>
        <w:numPr>
          <w:ilvl w:val="0"/>
          <w:numId w:val="10"/>
        </w:numPr>
        <w:overflowPunct/>
        <w:autoSpaceDE/>
        <w:autoSpaceDN/>
        <w:adjustRightInd/>
        <w:spacing w:after="240"/>
        <w:ind w:left="1418" w:hanging="709"/>
        <w:textAlignment w:val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Zarząd proporcjonalni</w:t>
      </w:r>
      <w:r>
        <w:rPr>
          <w:color w:val="000000"/>
          <w:szCs w:val="22"/>
          <w:lang w:val="pl-PL"/>
        </w:rPr>
        <w:t>e zaoferuje Akcje Serii B lub Akcje Serii C akcjonariuszom Spółki, którzy będą posiadać akcje Spółki w liczbie reprezentującej więcej niż 0,5% kapitału zakładowego Spółki w dniu rejestracji uczestnictwa na Nadzwyczajnym Walnym Zgromadzeniu, i którzy zareje</w:t>
      </w:r>
      <w:r>
        <w:rPr>
          <w:color w:val="000000"/>
          <w:szCs w:val="22"/>
          <w:lang w:val="pl-PL"/>
        </w:rPr>
        <w:t>strowali te akcje na Nadzwyczajnym Walnym Zgromadzeniu zwołanym na dzień 13 września 2019 r. lub którzy przedstawią dokument potwierdzający, że dany akcjonariusz był akcjonariuszem Spółki w dniu rejestracji uczestnictwa na Nadzwyczajnym Walnym Zgromadzeniu</w:t>
      </w:r>
      <w:r>
        <w:rPr>
          <w:color w:val="000000"/>
          <w:szCs w:val="22"/>
          <w:lang w:val="pl-PL"/>
        </w:rPr>
        <w:t xml:space="preserve"> i którzy wezmą udział w procesie budowy księgi popytu na Akcje Serii B oraz Akcje Serii C i zadeklarują zamiar objęcia Akcji Serii B lub Akcji Serii C po cenie nie niższej niż ustalona przez Zarząd cena emisyjna Akcji Serii B oraz Akcji Serii C, proporcjo</w:t>
      </w:r>
      <w:r>
        <w:rPr>
          <w:color w:val="000000"/>
          <w:szCs w:val="22"/>
          <w:lang w:val="pl-PL"/>
        </w:rPr>
        <w:t>nalnie do ich udziału w kapitale zakładowym Spółki („</w:t>
      </w:r>
      <w:r>
        <w:rPr>
          <w:b/>
          <w:color w:val="000000"/>
          <w:szCs w:val="22"/>
          <w:lang w:val="pl-PL"/>
        </w:rPr>
        <w:t>Uprawnieni Akcjonariusze</w:t>
      </w:r>
      <w:r>
        <w:rPr>
          <w:color w:val="000000"/>
          <w:szCs w:val="22"/>
          <w:lang w:val="pl-PL"/>
        </w:rPr>
        <w:t xml:space="preserve">”), przy czym Zarząd Spółki będzie zobowiązany do umożliwienia każdemu z Uprawnionych Akcjonariuszy do wzięcia udziału w procesie budowy księgi popytu na Akcje Serii B oraz Akcje </w:t>
      </w:r>
      <w:r>
        <w:rPr>
          <w:color w:val="000000"/>
          <w:szCs w:val="22"/>
          <w:lang w:val="pl-PL"/>
        </w:rPr>
        <w:t>Serii C. Zarząd zaoferuje Akcje Serii B lub Akcje Serii C Uprawnionym Akcjonariuszom w liczbie proporcjonalnej do posiadanego przez danego Uprawnionego Akcjonariusza udziału w kapitale zakładowym Spółki. Oferty objęcia Akcji Serii B oraz Akcji Serii C, z k</w:t>
      </w:r>
      <w:r>
        <w:rPr>
          <w:color w:val="000000"/>
          <w:szCs w:val="22"/>
          <w:lang w:val="pl-PL"/>
        </w:rPr>
        <w:t xml:space="preserve">tórymi Zarząd zwróci się do Uprawnionych Akcjonariuszy, wskazywać będą cenę za Akcje Serii B oraz Akcje Serii C, ustaloną zgodnie z treścią </w:t>
      </w:r>
      <w:r>
        <w:rPr>
          <w:lang w:val="pl-PL"/>
        </w:rPr>
        <w:t>Uchwały nr 3 Nadzwyczajnego Walnego Zgromadzenia Spółki zwołanego na dzień 13 września 2019 roku</w:t>
      </w:r>
      <w:r>
        <w:rPr>
          <w:color w:val="000000"/>
          <w:szCs w:val="22"/>
          <w:lang w:val="pl-PL"/>
        </w:rPr>
        <w:t>;</w:t>
      </w:r>
    </w:p>
    <w:p w:rsidR="00F24270" w:rsidRDefault="00B836A0">
      <w:pPr>
        <w:widowControl/>
        <w:numPr>
          <w:ilvl w:val="0"/>
          <w:numId w:val="10"/>
        </w:numPr>
        <w:overflowPunct/>
        <w:autoSpaceDE/>
        <w:autoSpaceDN/>
        <w:adjustRightInd/>
        <w:spacing w:after="240"/>
        <w:ind w:left="1418" w:hanging="709"/>
        <w:textAlignment w:val="auto"/>
        <w:rPr>
          <w:rFonts w:eastAsia="PMingLiU"/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równocześnie Zarzą</w:t>
      </w:r>
      <w:r>
        <w:rPr>
          <w:color w:val="000000"/>
          <w:szCs w:val="22"/>
          <w:lang w:val="pl-PL"/>
        </w:rPr>
        <w:t>d zaoferuje Akcje Serii B lub Akcje Serii C inwestorowi strategicznemu, według kryteriów ustalonych przez Zarząd i zatwierdzonych przez Radę Nadzorczą („</w:t>
      </w:r>
      <w:r>
        <w:rPr>
          <w:b/>
          <w:color w:val="000000"/>
          <w:szCs w:val="22"/>
          <w:lang w:val="pl-PL"/>
        </w:rPr>
        <w:t>Uprawniony Inwestor</w:t>
      </w:r>
      <w:r>
        <w:rPr>
          <w:color w:val="000000"/>
          <w:szCs w:val="22"/>
          <w:lang w:val="pl-PL"/>
        </w:rPr>
        <w:t>”);</w:t>
      </w:r>
    </w:p>
    <w:p w:rsidR="00F24270" w:rsidRDefault="00B836A0">
      <w:pPr>
        <w:widowControl/>
        <w:numPr>
          <w:ilvl w:val="0"/>
          <w:numId w:val="10"/>
        </w:numPr>
        <w:overflowPunct/>
        <w:autoSpaceDE/>
        <w:autoSpaceDN/>
        <w:adjustRightInd/>
        <w:spacing w:after="240"/>
        <w:ind w:left="1418" w:hanging="709"/>
        <w:textAlignment w:val="auto"/>
        <w:rPr>
          <w:rFonts w:eastAsia="PMingLiU"/>
          <w:b/>
          <w:szCs w:val="22"/>
          <w:lang w:val="pl-PL"/>
        </w:rPr>
      </w:pPr>
      <w:r>
        <w:rPr>
          <w:color w:val="000000"/>
          <w:szCs w:val="22"/>
          <w:lang w:val="pl-PL"/>
        </w:rPr>
        <w:t xml:space="preserve">w przypadku, jeżeli w wyniku wstępnej alokacji Akcji Serii B oraz Akcji </w:t>
      </w:r>
      <w:r>
        <w:rPr>
          <w:color w:val="000000"/>
          <w:szCs w:val="22"/>
          <w:lang w:val="pl-PL"/>
        </w:rPr>
        <w:t>Serii C Uprawnionym Akcjonariuszom zgodnie z lit. a) powyżej oraz Uprawnionemu Inwestorowi zgodnie z lit. b) powyżej pozostaną Akcje Serii B lub Akcje Serii C nieobjęte przez Uprawnionych Akcjonariuszy lub Uprawnionego Inwestora, Zarząd Spółki będzie upraw</w:t>
      </w:r>
      <w:r>
        <w:rPr>
          <w:color w:val="000000"/>
          <w:szCs w:val="22"/>
          <w:lang w:val="pl-PL"/>
        </w:rPr>
        <w:t>niony do zaoferowania nieobjętych Akcji Serii B lub Akcji Serii C innym inwestorom, którzy zostaną wybrani przez Zarząd według kryteriów ustalonych wedle uznania Zarządu i zatwierdzonych przez Radę Nadzorczą.</w:t>
      </w: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r>
        <w:rPr>
          <w:rFonts w:eastAsia="PMingLiU"/>
          <w:szCs w:val="22"/>
          <w:lang w:val="pl-PL"/>
        </w:rPr>
        <w:lastRenderedPageBreak/>
        <w:t>Z uwagi na charakter i strukturę akcjonariatu S</w:t>
      </w:r>
      <w:r>
        <w:rPr>
          <w:rFonts w:eastAsia="PMingLiU"/>
          <w:szCs w:val="22"/>
          <w:lang w:val="pl-PL"/>
        </w:rPr>
        <w:t>półki, a także potrzeby kapitałowe Spółki, biorąc pod uwagę czas oraz stopień sformalizowania, a także koszty przeprowadzenia poszczególnych rodzajów subskrypcji akcji, najkorzystniejszym dla Spółki sposobem przeprowadzenia podwyższenia kapitału zakładoweg</w:t>
      </w:r>
      <w:r>
        <w:rPr>
          <w:rFonts w:eastAsia="PMingLiU"/>
          <w:szCs w:val="22"/>
          <w:lang w:val="pl-PL"/>
        </w:rPr>
        <w:t>o jest przeprowadzenie subskrypcji prywatnej, z wyłączeniem prawa poboru dotychczasowych akcjonariuszy w całości i skierowanie ofert objęcia Akcji Serii B oraz Akcji Serii C do akcjonariuszy Spółki posiadających pakiety akcji Spółki przekraczające 0,5% w k</w:t>
      </w:r>
      <w:r>
        <w:rPr>
          <w:rFonts w:eastAsia="PMingLiU"/>
          <w:szCs w:val="22"/>
          <w:lang w:val="pl-PL"/>
        </w:rPr>
        <w:t>apitale zakładowym Spółki, którzy będą uczestniczyć w Nadzwyczajnym Walnym Zgromadzeniu zwołanym na dzień 13 września 2019 roku i wezmą udział w procesie budowania księgi popytu, oraz do innych podmiotów, zgodnie z decyzją Zarządu.</w:t>
      </w: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r>
        <w:rPr>
          <w:rFonts w:eastAsia="PMingLiU"/>
          <w:szCs w:val="22"/>
          <w:lang w:val="pl-PL"/>
        </w:rPr>
        <w:t>Celem zastosowania trybu</w:t>
      </w:r>
      <w:r>
        <w:rPr>
          <w:rFonts w:eastAsia="PMingLiU"/>
          <w:szCs w:val="22"/>
          <w:lang w:val="pl-PL"/>
        </w:rPr>
        <w:t xml:space="preserve"> subskrypcji prywatnej z wyłączeniem prawa poboru dotychczasowych akcjonariuszy Spółki jako sposobu na przeprowadzenie emisji Akcji Serii B oraz Akcji Serii C, jest zapewnienie sprawnego, szybkiego i możliwie jak najmniej kosztownego pozyskania przez Spółk</w:t>
      </w:r>
      <w:r>
        <w:rPr>
          <w:rFonts w:eastAsia="PMingLiU"/>
          <w:szCs w:val="22"/>
          <w:lang w:val="pl-PL"/>
        </w:rPr>
        <w:t>ę kapitału, przy jednoczesnym zapewnieniu płynności Akcji Serii B oraz Akcji Serii C, dzięki możliwości skierowania ofert ich nabycia do szerszej grupy zarówno aktualnych, jak i potencjalnych nowych akcjonariuszy Spółki.</w:t>
      </w: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r>
        <w:rPr>
          <w:rFonts w:eastAsia="PMingLiU"/>
          <w:szCs w:val="22"/>
          <w:lang w:val="pl-PL"/>
        </w:rPr>
        <w:t>Emisja Akcji Serii B oraz Akcji Ser</w:t>
      </w:r>
      <w:r>
        <w:rPr>
          <w:rFonts w:eastAsia="PMingLiU"/>
          <w:szCs w:val="22"/>
          <w:lang w:val="pl-PL"/>
        </w:rPr>
        <w:t>ii C umożliwi Spółce pozyskanie kapitału, który zostanie przeznaczony na bieżące potrzeby finansowe Spółki oraz pozwoli na dokonanie refinansowania aktualnego zadłużenia Spółki. Ponadto, realizacja oferty akcji jest niezbędna do pozyskiwania i realizacji p</w:t>
      </w:r>
      <w:r>
        <w:rPr>
          <w:rFonts w:eastAsia="PMingLiU"/>
          <w:szCs w:val="22"/>
          <w:lang w:val="pl-PL"/>
        </w:rPr>
        <w:t>rojektów realizowanych przez Spółkę w ramach segmentów operacyjnych, w których działa Spółka. Ponadto zdaniem Zarządu, pozyskany w drodze emisji Akcji Serii B oraz Akcji Serii C kapitał pozwoli na wsparcie dalszego funkcjonowania Spółki. Należy również pod</w:t>
      </w:r>
      <w:r>
        <w:rPr>
          <w:rFonts w:eastAsia="PMingLiU"/>
          <w:szCs w:val="22"/>
          <w:lang w:val="pl-PL"/>
        </w:rPr>
        <w:t>kreślić, że podwyższenie kapitału zakładowego Spółki poprzez emisję nowych akcji jest jednym z warunków uzyskania przez Spółkę nowego finansowania dłużnego od instytucji finansowych w ramach prowadzonego obecnie przez Spółkę procesu refinansowania zadłużen</w:t>
      </w:r>
      <w:r>
        <w:rPr>
          <w:rFonts w:eastAsia="PMingLiU"/>
          <w:szCs w:val="22"/>
          <w:lang w:val="pl-PL"/>
        </w:rPr>
        <w:t xml:space="preserve">ia. Równocześnie możliwość podwyższenia kapitału zakładowego jest również uzależniona od powodzenia w pozyskiwaniu finansowania. Powyższe działania mają na celu restrukturyzację finansową Spółki oraz utrzymanie jej pozycji rynkowej. </w:t>
      </w:r>
      <w:r>
        <w:rPr>
          <w:lang w:val="pl-PL"/>
        </w:rPr>
        <w:t>Intencją Spółki jest po</w:t>
      </w:r>
      <w:r>
        <w:rPr>
          <w:lang w:val="pl-PL"/>
        </w:rPr>
        <w:t>zyskanie w wyniku oferty kapitału w wysokości nie mniejszej niż 50.000.000 PLN.</w:t>
      </w: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r>
        <w:rPr>
          <w:rFonts w:eastAsia="PMingLiU"/>
          <w:szCs w:val="22"/>
          <w:lang w:val="pl-PL"/>
        </w:rPr>
        <w:t>Zważywszy na argumenty przedstawione powyżej, w ocenie Zarządu, pozbawienie dotychczasowych akcjonariuszy Spółki prawa poboru i przeprowadzenie podwyższenia kapitału zakładoweg</w:t>
      </w:r>
      <w:r>
        <w:rPr>
          <w:rFonts w:eastAsia="PMingLiU"/>
          <w:szCs w:val="22"/>
          <w:lang w:val="pl-PL"/>
        </w:rPr>
        <w:t>o w drodze subskrypcji prywatnej, polegającej na skierowaniu ofert objęcia Akcji Serii B oraz Akcji Serii C do indywidualnie oznaczonych adresatów, stanowi najbardziej efektywną ekonomicznie, a zarazem najszybszą metodę przeprowadzenia procedury podwyższen</w:t>
      </w:r>
      <w:r>
        <w:rPr>
          <w:rFonts w:eastAsia="PMingLiU"/>
          <w:szCs w:val="22"/>
          <w:lang w:val="pl-PL"/>
        </w:rPr>
        <w:t>ia kapitału zakładowego, pozwalając na sprawne pozyskanie środków na realizację wskazanych celów, przy minimalnych kosztach obsługi tego procesu oraz jego istotnym przyśpieszeniu i uproszczeniu, co pozostaje zarówno w interesie Spółki, jak i jej akcjonariu</w:t>
      </w:r>
      <w:r>
        <w:rPr>
          <w:rFonts w:eastAsia="PMingLiU"/>
          <w:szCs w:val="22"/>
          <w:lang w:val="pl-PL"/>
        </w:rPr>
        <w:t>szy.</w:t>
      </w: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r>
        <w:rPr>
          <w:rFonts w:eastAsia="PMingLiU"/>
          <w:szCs w:val="22"/>
          <w:lang w:val="pl-PL"/>
        </w:rPr>
        <w:t xml:space="preserve">Jednocześnie Zarząd wskazuje, iż </w:t>
      </w:r>
      <w:r w:rsidRPr="00B836A0">
        <w:rPr>
          <w:rFonts w:eastAsia="PMingLiU"/>
          <w:szCs w:val="22"/>
          <w:lang w:val="pl-PL"/>
        </w:rPr>
        <w:t>w</w:t>
      </w:r>
      <w:r w:rsidRPr="00B836A0">
        <w:rPr>
          <w:rFonts w:eastAsia="PMingLiU"/>
          <w:szCs w:val="22"/>
          <w:lang w:val="pl-PL"/>
        </w:rPr>
        <w:t xml:space="preserve"> związku z faktem, że </w:t>
      </w:r>
      <w:r w:rsidRPr="00B836A0">
        <w:rPr>
          <w:rFonts w:eastAsia="PMingLiU"/>
          <w:szCs w:val="22"/>
          <w:lang w:val="pl-PL"/>
        </w:rPr>
        <w:t>o</w:t>
      </w:r>
      <w:r w:rsidRPr="00B836A0">
        <w:rPr>
          <w:rFonts w:eastAsia="PMingLiU"/>
          <w:szCs w:val="22"/>
          <w:lang w:val="pl-PL"/>
        </w:rPr>
        <w:t>ferta</w:t>
      </w:r>
      <w:r w:rsidRPr="00B836A0">
        <w:rPr>
          <w:rFonts w:eastAsia="PMingLiU"/>
          <w:szCs w:val="22"/>
          <w:lang w:val="pl-PL"/>
        </w:rPr>
        <w:t xml:space="preserve"> </w:t>
      </w:r>
      <w:r>
        <w:rPr>
          <w:rFonts w:eastAsia="PMingLiU"/>
          <w:szCs w:val="22"/>
          <w:lang w:val="pl-PL"/>
        </w:rPr>
        <w:t>Akcji Serii B oraz Akcji Serii C</w:t>
      </w:r>
      <w:r w:rsidRPr="00B836A0">
        <w:rPr>
          <w:rFonts w:eastAsia="PMingLiU"/>
          <w:szCs w:val="22"/>
          <w:lang w:val="pl-PL"/>
        </w:rPr>
        <w:t xml:space="preserve"> będzie przeprowadzona za pośrednictwem </w:t>
      </w:r>
      <w:r w:rsidRPr="00B836A0">
        <w:rPr>
          <w:rFonts w:eastAsia="PMingLiU"/>
          <w:szCs w:val="22"/>
          <w:lang w:val="pl-PL"/>
        </w:rPr>
        <w:t>podmiotu oferującego tj. mBank S.A. („</w:t>
      </w:r>
      <w:r w:rsidRPr="00B836A0">
        <w:rPr>
          <w:rFonts w:eastAsia="PMingLiU"/>
          <w:szCs w:val="22"/>
          <w:lang w:val="pl-PL"/>
        </w:rPr>
        <w:t>Oferujący</w:t>
      </w:r>
      <w:r w:rsidRPr="00B836A0">
        <w:rPr>
          <w:rFonts w:eastAsia="PMingLiU"/>
          <w:szCs w:val="22"/>
          <w:lang w:val="pl-PL"/>
        </w:rPr>
        <w:t xml:space="preserve">”) </w:t>
      </w:r>
      <w:r w:rsidRPr="00B836A0">
        <w:rPr>
          <w:rFonts w:eastAsia="PMingLiU"/>
          <w:szCs w:val="22"/>
          <w:lang w:val="pl-PL"/>
        </w:rPr>
        <w:t>jako firmy inwestycyjnej, która podlega szczegółowym wymogom prawn</w:t>
      </w:r>
      <w:r w:rsidRPr="00B836A0">
        <w:rPr>
          <w:rFonts w:eastAsia="PMingLiU"/>
          <w:szCs w:val="22"/>
          <w:lang w:val="pl-PL"/>
        </w:rPr>
        <w:t xml:space="preserve">ym określonym w ustawie z dnia 29 lipca 2005 r. o obrocie instrumentami finansowymi oraz aktach prawnych implementujących przepisy Dyrektywy MIFID II, konieczne będzie zawarcie przez inwestora zamierzającego uczestniczyć w </w:t>
      </w:r>
      <w:r w:rsidRPr="00B836A0">
        <w:rPr>
          <w:rFonts w:eastAsia="PMingLiU"/>
          <w:szCs w:val="22"/>
          <w:lang w:val="pl-PL"/>
        </w:rPr>
        <w:t>o</w:t>
      </w:r>
      <w:r w:rsidRPr="00B836A0">
        <w:rPr>
          <w:rFonts w:eastAsia="PMingLiU"/>
          <w:szCs w:val="22"/>
          <w:lang w:val="pl-PL"/>
        </w:rPr>
        <w:t>fercie</w:t>
      </w:r>
      <w:r w:rsidRPr="00B836A0">
        <w:rPr>
          <w:rFonts w:eastAsia="PMingLiU"/>
          <w:szCs w:val="22"/>
          <w:lang w:val="pl-PL"/>
        </w:rPr>
        <w:t xml:space="preserve"> </w:t>
      </w:r>
      <w:r>
        <w:rPr>
          <w:rFonts w:eastAsia="PMingLiU"/>
          <w:szCs w:val="22"/>
          <w:lang w:val="pl-PL"/>
        </w:rPr>
        <w:t xml:space="preserve">Akcji Serii B oraz </w:t>
      </w:r>
      <w:r>
        <w:rPr>
          <w:rFonts w:eastAsia="PMingLiU"/>
          <w:szCs w:val="22"/>
          <w:lang w:val="pl-PL"/>
        </w:rPr>
        <w:t>Akcji Serii C</w:t>
      </w:r>
      <w:r w:rsidRPr="00B836A0">
        <w:rPr>
          <w:rFonts w:eastAsia="PMingLiU"/>
          <w:szCs w:val="22"/>
          <w:lang w:val="pl-PL"/>
        </w:rPr>
        <w:t>,</w:t>
      </w:r>
      <w:r w:rsidRPr="00B836A0">
        <w:rPr>
          <w:rFonts w:eastAsia="PMingLiU"/>
          <w:szCs w:val="22"/>
          <w:lang w:val="pl-PL"/>
        </w:rPr>
        <w:t xml:space="preserve"> stosownej umowy o świadczenie usług maklerskich z Oferującym. Zgodnie z ustaleniami poczynionymi z Oferującym uprawnieni inwestorzy zainteresowani wzięciem udziału w </w:t>
      </w:r>
      <w:r w:rsidRPr="00B836A0">
        <w:rPr>
          <w:rFonts w:eastAsia="PMingLiU"/>
          <w:szCs w:val="22"/>
          <w:lang w:val="pl-PL"/>
        </w:rPr>
        <w:t>o</w:t>
      </w:r>
      <w:r w:rsidRPr="00B836A0">
        <w:rPr>
          <w:rFonts w:eastAsia="PMingLiU"/>
          <w:szCs w:val="22"/>
          <w:lang w:val="pl-PL"/>
        </w:rPr>
        <w:t>fercie</w:t>
      </w:r>
      <w:r w:rsidRPr="00B836A0">
        <w:rPr>
          <w:rFonts w:eastAsia="PMingLiU"/>
          <w:szCs w:val="22"/>
          <w:lang w:val="pl-PL"/>
        </w:rPr>
        <w:t xml:space="preserve"> </w:t>
      </w:r>
      <w:r>
        <w:rPr>
          <w:rFonts w:eastAsia="PMingLiU"/>
          <w:szCs w:val="22"/>
          <w:lang w:val="pl-PL"/>
        </w:rPr>
        <w:t>Akcji Serii B oraz Akcji Serii C</w:t>
      </w:r>
      <w:r w:rsidRPr="00B836A0">
        <w:rPr>
          <w:rFonts w:eastAsia="PMingLiU"/>
          <w:szCs w:val="22"/>
          <w:lang w:val="pl-PL"/>
        </w:rPr>
        <w:t xml:space="preserve"> powinni skontaktować się (ze stoso</w:t>
      </w:r>
      <w:r w:rsidRPr="00B836A0">
        <w:rPr>
          <w:rFonts w:eastAsia="PMingLiU"/>
          <w:szCs w:val="22"/>
          <w:lang w:val="pl-PL"/>
        </w:rPr>
        <w:t xml:space="preserve">wnym wyprzedzeniem) z Oferującym w celu zapoznania się z procedurą postępowania w </w:t>
      </w:r>
      <w:r w:rsidRPr="00B836A0">
        <w:rPr>
          <w:rFonts w:eastAsia="PMingLiU"/>
          <w:szCs w:val="22"/>
          <w:lang w:val="pl-PL"/>
        </w:rPr>
        <w:t>o</w:t>
      </w:r>
      <w:r w:rsidRPr="00B836A0">
        <w:rPr>
          <w:rFonts w:eastAsia="PMingLiU"/>
          <w:szCs w:val="22"/>
          <w:lang w:val="pl-PL"/>
        </w:rPr>
        <w:t>fercie, podpisania stosownej umowy o świadczenie usług maklerskich (o ile takiej umowy nie zawarli wcześniej) oraz dostarczenia niezbędnej dokumentacji (w tym przejścia proc</w:t>
      </w:r>
      <w:r w:rsidRPr="00B836A0">
        <w:rPr>
          <w:rFonts w:eastAsia="PMingLiU"/>
          <w:szCs w:val="22"/>
          <w:lang w:val="pl-PL"/>
        </w:rPr>
        <w:t>edury KYC z Oferującym, która w zależności od przypadku może zająć nawet ponad tydzień).</w:t>
      </w:r>
    </w:p>
    <w:p w:rsidR="00B836A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</w:p>
    <w:p w:rsidR="00F24270" w:rsidRDefault="00B836A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  <w:bookmarkStart w:id="0" w:name="_GoBack"/>
      <w:bookmarkEnd w:id="0"/>
      <w:r>
        <w:rPr>
          <w:rFonts w:eastAsia="PMingLiU"/>
          <w:szCs w:val="22"/>
          <w:lang w:val="pl-PL"/>
        </w:rPr>
        <w:t>Mając powyższe na uwadze, Zarząd Spółki</w:t>
      </w:r>
      <w:r w:rsidRPr="00B836A0">
        <w:rPr>
          <w:rFonts w:eastAsia="PMingLiU"/>
          <w:szCs w:val="22"/>
          <w:lang w:val="pl-PL"/>
        </w:rPr>
        <w:t xml:space="preserve"> </w:t>
      </w:r>
      <w:r>
        <w:rPr>
          <w:rFonts w:eastAsia="PMingLiU"/>
          <w:szCs w:val="22"/>
          <w:lang w:val="pl-PL"/>
        </w:rPr>
        <w:t>rekomenduje Nadzwyczajnemu Walnemu Zgromadzeniu głosowanie za uchwaleniem podwyższenia kapitału zakładowego Spółki z wyłączenie</w:t>
      </w:r>
      <w:r>
        <w:rPr>
          <w:rFonts w:eastAsia="PMingLiU"/>
          <w:szCs w:val="22"/>
          <w:lang w:val="pl-PL"/>
        </w:rPr>
        <w:t>m prawa poboru dotychczasowych akcjonariuszy w całości, zgodnie z projektem uchwały w tym przedmiocie.</w:t>
      </w:r>
    </w:p>
    <w:p w:rsidR="00F24270" w:rsidRDefault="00F24270">
      <w:pPr>
        <w:widowControl/>
        <w:overflowPunct/>
        <w:autoSpaceDE/>
        <w:autoSpaceDN/>
        <w:adjustRightInd/>
        <w:spacing w:after="240"/>
        <w:textAlignment w:val="auto"/>
        <w:rPr>
          <w:rFonts w:eastAsia="PMingLiU"/>
          <w:szCs w:val="22"/>
          <w:lang w:val="pl-PL"/>
        </w:rPr>
      </w:pPr>
    </w:p>
    <w:p w:rsidR="00F24270" w:rsidRDefault="00F24270">
      <w:pPr>
        <w:spacing w:before="120"/>
        <w:jc w:val="center"/>
        <w:rPr>
          <w:rFonts w:eastAsia="PMingLiU"/>
          <w:szCs w:val="22"/>
          <w:lang w:val="pl-PL"/>
        </w:rPr>
      </w:pPr>
    </w:p>
    <w:sectPr w:rsidR="00F242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270" w:rsidRDefault="00B836A0">
      <w:r>
        <w:separator/>
      </w:r>
    </w:p>
  </w:endnote>
  <w:endnote w:type="continuationSeparator" w:id="0">
    <w:p w:rsidR="00F24270" w:rsidRDefault="00B8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270" w:rsidRDefault="00B836A0">
      <w:r>
        <w:separator/>
      </w:r>
    </w:p>
  </w:footnote>
  <w:footnote w:type="continuationSeparator" w:id="0">
    <w:p w:rsidR="00F24270" w:rsidRDefault="00B8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270" w:rsidRDefault="00B836A0">
    <w:pPr>
      <w:pStyle w:val="Nagwek"/>
    </w:pPr>
    <w:r>
      <w:rPr>
        <w:noProof/>
        <w:lang w:val="en-US"/>
      </w:rPr>
      <w:drawing>
        <wp:inline distT="0" distB="0" distL="0" distR="0">
          <wp:extent cx="1500505" cy="833755"/>
          <wp:effectExtent l="0" t="0" r="4445" b="4445"/>
          <wp:docPr id="1" name="Obraz 1" descr="Opis: C:\Users\EKOWAL~1\AppData\Local\Temp\Rar$DI02.166\Trakcja_PRKi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EKOWAL~1\AppData\Local\Temp\Rar$DI02.166\Trakcja_PRKi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Nagwek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Nagwek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Nagwek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Nagwek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Nagwek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Nagwek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Nagwek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Nagwek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766A1CD8"/>
    <w:multiLevelType w:val="hybridMultilevel"/>
    <w:tmpl w:val="98C89ADC"/>
    <w:lvl w:ilvl="0" w:tplc="E9A60A2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5D1A2BE6" w:tentative="1">
      <w:start w:val="1"/>
      <w:numFmt w:val="lowerLetter"/>
      <w:lvlText w:val="%2."/>
      <w:lvlJc w:val="left"/>
      <w:pPr>
        <w:ind w:left="2520" w:hanging="360"/>
      </w:pPr>
    </w:lvl>
    <w:lvl w:ilvl="2" w:tplc="808AB532" w:tentative="1">
      <w:start w:val="1"/>
      <w:numFmt w:val="lowerRoman"/>
      <w:lvlText w:val="%3."/>
      <w:lvlJc w:val="right"/>
      <w:pPr>
        <w:ind w:left="3240" w:hanging="180"/>
      </w:pPr>
    </w:lvl>
    <w:lvl w:ilvl="3" w:tplc="F830D054" w:tentative="1">
      <w:start w:val="1"/>
      <w:numFmt w:val="decimal"/>
      <w:lvlText w:val="%4."/>
      <w:lvlJc w:val="left"/>
      <w:pPr>
        <w:ind w:left="3960" w:hanging="360"/>
      </w:pPr>
    </w:lvl>
    <w:lvl w:ilvl="4" w:tplc="D4BE0144" w:tentative="1">
      <w:start w:val="1"/>
      <w:numFmt w:val="lowerLetter"/>
      <w:lvlText w:val="%5."/>
      <w:lvlJc w:val="left"/>
      <w:pPr>
        <w:ind w:left="4680" w:hanging="360"/>
      </w:pPr>
    </w:lvl>
    <w:lvl w:ilvl="5" w:tplc="E6668466" w:tentative="1">
      <w:start w:val="1"/>
      <w:numFmt w:val="lowerRoman"/>
      <w:lvlText w:val="%6."/>
      <w:lvlJc w:val="right"/>
      <w:pPr>
        <w:ind w:left="5400" w:hanging="180"/>
      </w:pPr>
    </w:lvl>
    <w:lvl w:ilvl="6" w:tplc="E42AAB9A" w:tentative="1">
      <w:start w:val="1"/>
      <w:numFmt w:val="decimal"/>
      <w:lvlText w:val="%7."/>
      <w:lvlJc w:val="left"/>
      <w:pPr>
        <w:ind w:left="6120" w:hanging="360"/>
      </w:pPr>
    </w:lvl>
    <w:lvl w:ilvl="7" w:tplc="AE20919A" w:tentative="1">
      <w:start w:val="1"/>
      <w:numFmt w:val="lowerLetter"/>
      <w:lvlText w:val="%8."/>
      <w:lvlJc w:val="left"/>
      <w:pPr>
        <w:ind w:left="6840" w:hanging="360"/>
      </w:pPr>
    </w:lvl>
    <w:lvl w:ilvl="8" w:tplc="3786675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270"/>
    <w:rsid w:val="00B836A0"/>
    <w:rsid w:val="00F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979E"/>
  <w15:docId w15:val="{F097457A-175E-42B9-9B2D-3E64C94B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Cs w:val="20"/>
      <w:lang w:eastAsia="en-US"/>
    </w:rPr>
  </w:style>
  <w:style w:type="paragraph" w:styleId="Nagwek1">
    <w:name w:val="heading 1"/>
    <w:basedOn w:val="Normalny"/>
    <w:link w:val="Nagwek1Znak"/>
    <w:qFormat/>
    <w:pPr>
      <w:numPr>
        <w:numId w:val="9"/>
      </w:numPr>
      <w:spacing w:after="240" w:line="360" w:lineRule="auto"/>
      <w:outlineLvl w:val="0"/>
    </w:pPr>
    <w:rPr>
      <w:kern w:val="28"/>
    </w:rPr>
  </w:style>
  <w:style w:type="paragraph" w:styleId="Nagwek2">
    <w:name w:val="heading 2"/>
    <w:basedOn w:val="Normalny"/>
    <w:link w:val="Nagwek2Znak"/>
    <w:qFormat/>
    <w:pPr>
      <w:numPr>
        <w:ilvl w:val="1"/>
        <w:numId w:val="9"/>
      </w:numPr>
      <w:spacing w:after="240" w:line="360" w:lineRule="auto"/>
      <w:outlineLvl w:val="1"/>
    </w:pPr>
  </w:style>
  <w:style w:type="paragraph" w:styleId="Nagwek3">
    <w:name w:val="heading 3"/>
    <w:basedOn w:val="Normalny"/>
    <w:link w:val="Nagwek3Znak"/>
    <w:qFormat/>
    <w:pPr>
      <w:numPr>
        <w:ilvl w:val="2"/>
        <w:numId w:val="9"/>
      </w:numPr>
      <w:spacing w:after="240" w:line="360" w:lineRule="auto"/>
      <w:outlineLvl w:val="2"/>
    </w:pPr>
  </w:style>
  <w:style w:type="paragraph" w:styleId="Nagwek4">
    <w:name w:val="heading 4"/>
    <w:basedOn w:val="Normalny"/>
    <w:link w:val="Nagwek4Znak"/>
    <w:qFormat/>
    <w:pPr>
      <w:numPr>
        <w:ilvl w:val="3"/>
        <w:numId w:val="9"/>
      </w:numPr>
      <w:spacing w:after="240" w:line="360" w:lineRule="auto"/>
      <w:outlineLvl w:val="3"/>
    </w:pPr>
  </w:style>
  <w:style w:type="paragraph" w:styleId="Nagwek5">
    <w:name w:val="heading 5"/>
    <w:basedOn w:val="Normalny"/>
    <w:link w:val="Nagwek5Znak"/>
    <w:qFormat/>
    <w:pPr>
      <w:numPr>
        <w:ilvl w:val="4"/>
        <w:numId w:val="9"/>
      </w:numPr>
      <w:spacing w:after="240" w:line="360" w:lineRule="auto"/>
      <w:outlineLvl w:val="4"/>
    </w:pPr>
  </w:style>
  <w:style w:type="paragraph" w:styleId="Nagwek6">
    <w:name w:val="heading 6"/>
    <w:basedOn w:val="Nagwek5"/>
    <w:link w:val="Nagwek6Znak"/>
    <w:qFormat/>
    <w:pPr>
      <w:numPr>
        <w:ilvl w:val="5"/>
      </w:numPr>
      <w:outlineLvl w:val="5"/>
    </w:pPr>
  </w:style>
  <w:style w:type="paragraph" w:styleId="Nagwek7">
    <w:name w:val="heading 7"/>
    <w:basedOn w:val="Nagwek6"/>
    <w:link w:val="Nagwek7Znak"/>
    <w:qFormat/>
    <w:pPr>
      <w:numPr>
        <w:ilvl w:val="6"/>
      </w:numPr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keepNext/>
      <w:numPr>
        <w:ilvl w:val="7"/>
        <w:numId w:val="9"/>
      </w:numPr>
      <w:spacing w:after="240" w:line="360" w:lineRule="auto"/>
      <w:jc w:val="center"/>
      <w:outlineLvl w:val="7"/>
    </w:pPr>
    <w:rPr>
      <w:b/>
      <w:caps/>
    </w:rPr>
  </w:style>
  <w:style w:type="paragraph" w:styleId="Nagwek9">
    <w:name w:val="heading 9"/>
    <w:basedOn w:val="Nagwek8"/>
    <w:next w:val="Normalny"/>
    <w:link w:val="Nagwek9Znak"/>
    <w:qFormat/>
    <w:pPr>
      <w:numPr>
        <w:ilvl w:val="8"/>
      </w:numPr>
      <w:outlineLvl w:val="8"/>
    </w:pPr>
    <w:rPr>
      <w:cap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/>
      <w:spacing w:after="120"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pPr>
      <w:widowControl/>
      <w:spacing w:after="240" w:line="360" w:lineRule="auto"/>
      <w:ind w:left="737"/>
    </w:p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Times New Roman" w:eastAsia="Times New Roman" w:hAnsi="Times New Roman" w:cs="Times New Roman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pPr>
      <w:widowControl/>
      <w:spacing w:after="240" w:line="360" w:lineRule="auto"/>
      <w:ind w:left="1440"/>
    </w:pPr>
  </w:style>
  <w:style w:type="character" w:customStyle="1" w:styleId="Tekstpodstawowywcity2Znak">
    <w:name w:val="Tekst podstawowy wcięty 2 Znak"/>
    <w:basedOn w:val="Domylnaczcionkaakapitu"/>
    <w:link w:val="Tekstpodstawowywcity2"/>
    <w:rPr>
      <w:rFonts w:ascii="Times New Roman" w:eastAsia="Times New Roman" w:hAnsi="Times New Roman" w:cs="Times New Roman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pPr>
      <w:widowControl/>
      <w:spacing w:after="240" w:line="360" w:lineRule="auto"/>
      <w:ind w:left="2160"/>
    </w:pPr>
  </w:style>
  <w:style w:type="character" w:customStyle="1" w:styleId="Tekstpodstawowywcity3Znak">
    <w:name w:val="Tekst podstawowy wcięty 3 Znak"/>
    <w:basedOn w:val="Domylnaczcionkaakapitu"/>
    <w:link w:val="Tekstpodstawowywcity3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odyTextIndent4">
    <w:name w:val="Body Text Indent 4"/>
    <w:basedOn w:val="Normalny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ny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pPr>
      <w:ind w:left="4320"/>
    </w:pPr>
  </w:style>
  <w:style w:type="paragraph" w:customStyle="1" w:styleId="BodyTextIndent7">
    <w:name w:val="Body Text Indent 7"/>
    <w:basedOn w:val="BodyTextIndent6"/>
    <w:pPr>
      <w:ind w:left="5040"/>
    </w:p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Stopka">
    <w:name w:val="footer"/>
    <w:basedOn w:val="Normalny"/>
    <w:link w:val="StopkaZnak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Pr>
      <w:rFonts w:ascii="Times New Roman" w:eastAsia="Times New Roman" w:hAnsi="Times New Roman" w:cs="Times New Roman"/>
      <w:szCs w:val="20"/>
      <w:lang w:eastAsia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Nagwek">
    <w:name w:val="header"/>
    <w:basedOn w:val="Normalny"/>
    <w:link w:val="NagwekZnak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6Znak">
    <w:name w:val="Nagłówek 6 Znak"/>
    <w:basedOn w:val="Domylnaczcionkaakapitu"/>
    <w:link w:val="Nagwek6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7Znak">
    <w:name w:val="Nagłówek 7 Znak"/>
    <w:basedOn w:val="Domylnaczcionkaakapitu"/>
    <w:link w:val="Nagwek7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rPr>
      <w:rFonts w:ascii="Times New Roman" w:eastAsia="Times New Roman" w:hAnsi="Times New Roman" w:cs="Times New Roman"/>
      <w:b/>
      <w:caps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Indeks1">
    <w:name w:val="index 1"/>
    <w:basedOn w:val="Normalny"/>
    <w:next w:val="Normalny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MarginText">
    <w:name w:val="Margin Text"/>
    <w:basedOn w:val="Tekstpodstawowy"/>
    <w:pPr>
      <w:spacing w:after="240"/>
    </w:pPr>
  </w:style>
  <w:style w:type="character" w:styleId="Numerstrony">
    <w:name w:val="page number"/>
    <w:basedOn w:val="Domylnaczcionkaakapitu"/>
  </w:style>
  <w:style w:type="paragraph" w:customStyle="1" w:styleId="SchHead">
    <w:name w:val="SchHead"/>
    <w:basedOn w:val="Normalny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Pr>
      <w:cap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1149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Karolina Szmajdzińska</cp:lastModifiedBy>
  <cp:revision>5</cp:revision>
  <dcterms:created xsi:type="dcterms:W3CDTF">2019-08-09T09:25:00Z</dcterms:created>
  <dcterms:modified xsi:type="dcterms:W3CDTF">2019-08-09T13:49:00Z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40378c29-6267-48c2-b7f7-52831d55dd5c</vt:lpwstr>
  </property>
</Properties>
</file>