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1B" w:rsidRDefault="003A08B6">
      <w:pPr>
        <w:spacing w:after="160" w:line="259" w:lineRule="auto"/>
        <w:jc w:val="center"/>
        <w:rPr>
          <w:rFonts w:eastAsia="Calibri"/>
          <w:b/>
          <w:lang w:val="pl-PL"/>
        </w:rPr>
      </w:pPr>
      <w:bookmarkStart w:id="0" w:name="_GoBack"/>
      <w:bookmarkEnd w:id="0"/>
      <w:r>
        <w:rPr>
          <w:rFonts w:eastAsia="Calibri"/>
          <w:b/>
          <w:lang w:val="pl-PL"/>
        </w:rPr>
        <w:t xml:space="preserve">Projekty uchwał, które będą przedmiotem obrad Nadzwyczajnego Walnego Zgromadzenia </w:t>
      </w:r>
    </w:p>
    <w:p w:rsidR="00E41B1B" w:rsidRDefault="003A08B6">
      <w:pPr>
        <w:spacing w:after="160" w:line="259" w:lineRule="auto"/>
        <w:jc w:val="center"/>
        <w:rPr>
          <w:rFonts w:eastAsia="Calibri"/>
          <w:b/>
          <w:lang w:val="pl-PL"/>
        </w:rPr>
      </w:pPr>
      <w:r>
        <w:rPr>
          <w:rFonts w:eastAsia="Calibri"/>
          <w:b/>
          <w:lang w:val="pl-PL"/>
        </w:rPr>
        <w:t>zwołanego na dzień 13 września 2019 r.</w:t>
      </w:r>
    </w:p>
    <w:p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:rsidR="00E41B1B" w:rsidRDefault="003A08B6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Ad 1 porządku obrad:</w:t>
      </w:r>
    </w:p>
    <w:p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1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PRKil S.A. z siedzibą w Warszawie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dnia </w:t>
      </w:r>
      <w:r>
        <w:rPr>
          <w:rFonts w:eastAsia="Calibri"/>
          <w:b/>
          <w:lang w:val="pl-PL"/>
        </w:rPr>
        <w:t xml:space="preserve">13 </w:t>
      </w:r>
      <w:r>
        <w:rPr>
          <w:rFonts w:eastAsia="Calibri"/>
          <w:b/>
          <w:lang w:val="pl-PL"/>
        </w:rPr>
        <w:t>września 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E41B1B">
        <w:tc>
          <w:tcPr>
            <w:tcW w:w="1242" w:type="dxa"/>
          </w:tcPr>
          <w:p w:rsidR="00E41B1B" w:rsidRDefault="003A08B6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:rsidR="00E41B1B" w:rsidRDefault="003A08B6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wyboru Przewodniczącego Nadzwyczajnego Walnego Zgromadzenia.</w:t>
            </w:r>
          </w:p>
        </w:tc>
      </w:tr>
    </w:tbl>
    <w:p w:rsidR="00E41B1B" w:rsidRDefault="003A08B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§1</w:t>
      </w:r>
    </w:p>
    <w:p w:rsidR="00E41B1B" w:rsidRDefault="003A08B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Na podstawie art. 409 § 1 Kodeksu Spółek Handlowych Nadzwyczajne Walne Zgromadzenie postanawia wybrać na Przewodniczącego Nadzwyczajnego Walnego </w:t>
      </w:r>
      <w:r>
        <w:rPr>
          <w:rFonts w:eastAsia="Times New Roman"/>
          <w:color w:val="000000"/>
          <w:lang w:val="pl-PL"/>
        </w:rPr>
        <w:t>Zgromadzenia [●].</w:t>
      </w:r>
    </w:p>
    <w:p w:rsidR="00E41B1B" w:rsidRDefault="003A08B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:rsidR="00E41B1B" w:rsidRDefault="003A08B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:rsidR="00E41B1B" w:rsidRDefault="003A08B6">
      <w:pPr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br w:type="page"/>
      </w:r>
    </w:p>
    <w:p w:rsidR="00E41B1B" w:rsidRDefault="003A08B6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lastRenderedPageBreak/>
        <w:t>Ad 3 porządku obrad:</w:t>
      </w:r>
    </w:p>
    <w:p w:rsidR="00E41B1B" w:rsidRDefault="00E41B1B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2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PRKil S.A. z siedzibą w Warszawie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dnia </w:t>
      </w:r>
      <w:r>
        <w:rPr>
          <w:rFonts w:eastAsia="Calibri"/>
          <w:b/>
          <w:lang w:val="pl-PL"/>
        </w:rPr>
        <w:t>13 września 2019 r.</w:t>
      </w:r>
      <w:r>
        <w:rPr>
          <w:rFonts w:eastAsia="Times New Roman"/>
          <w:b/>
          <w:color w:val="000000"/>
          <w:lang w:val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E41B1B">
        <w:tc>
          <w:tcPr>
            <w:tcW w:w="1242" w:type="dxa"/>
          </w:tcPr>
          <w:p w:rsidR="00E41B1B" w:rsidRDefault="003A08B6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:rsidR="00E41B1B" w:rsidRDefault="003A08B6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 xml:space="preserve">przyjęcia porządku obrad </w:t>
            </w:r>
            <w:r>
              <w:rPr>
                <w:rFonts w:eastAsia="Times New Roman"/>
                <w:i/>
                <w:color w:val="000000"/>
                <w:lang w:val="pl-PL"/>
              </w:rPr>
              <w:t>Nadzwyczajnego Walnego Zgromadzenia.</w:t>
            </w:r>
          </w:p>
        </w:tc>
      </w:tr>
    </w:tbl>
    <w:p w:rsidR="00E41B1B" w:rsidRDefault="003A08B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:rsidR="00E41B1B" w:rsidRDefault="003A08B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Nadzwyczajne Walne Zgromadzenie Spółki przyjmuje porządek obrad Nadzwyczajnego Walnego Zgromadzenia Spółki o poniższym brzmieniu:</w:t>
      </w:r>
    </w:p>
    <w:p w:rsidR="00E41B1B" w:rsidRDefault="003A08B6">
      <w:pPr>
        <w:pStyle w:val="Akapitzlist"/>
        <w:numPr>
          <w:ilvl w:val="0"/>
          <w:numId w:val="7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Otwarcie Nadzwyczajnego Walnego Zgromadzenia i powzięcie uchwały w sprawie wyboru Pr</w:t>
      </w:r>
      <w:r>
        <w:rPr>
          <w:rFonts w:eastAsia="Times New Roman"/>
          <w:color w:val="000000"/>
          <w:lang w:val="pl-PL"/>
        </w:rPr>
        <w:t>zewodniczącego;</w:t>
      </w:r>
    </w:p>
    <w:p w:rsidR="00E41B1B" w:rsidRDefault="003A08B6">
      <w:pPr>
        <w:pStyle w:val="Akapitzlist"/>
        <w:numPr>
          <w:ilvl w:val="0"/>
          <w:numId w:val="7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Stwierdzenie prawidłowości zwołania Nadzwyczajnego Walnego Zgromadzenia i jego zdolności do podejmowania uchwał oraz sprawdzenie listy obecności;</w:t>
      </w:r>
    </w:p>
    <w:p w:rsidR="00E41B1B" w:rsidRDefault="003A08B6">
      <w:pPr>
        <w:pStyle w:val="Akapitzlist"/>
        <w:numPr>
          <w:ilvl w:val="0"/>
          <w:numId w:val="7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Powzięcie uchwały w sprawie przyjęcia porządku obrad;</w:t>
      </w:r>
    </w:p>
    <w:p w:rsidR="00E41B1B" w:rsidRDefault="003A08B6">
      <w:pPr>
        <w:pStyle w:val="Akapitzlist"/>
        <w:numPr>
          <w:ilvl w:val="0"/>
          <w:numId w:val="7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Powzięcie uchwały w sprawie podwyższenia</w:t>
      </w:r>
      <w:r>
        <w:rPr>
          <w:rFonts w:eastAsia="Times New Roman"/>
          <w:color w:val="000000"/>
          <w:lang w:val="pl-PL"/>
        </w:rPr>
        <w:t xml:space="preserve"> kapitału zakładowego Spółki poprzez emisję akcji zwykłych na okaziciela serii B oraz akcji zwykłych imiennych serii C w drodze subskrypcji prywatnej z wyłączeniem w całości prawa poboru dotychczasowych akcjonariuszy, dematerializacji oraz ubiegania się o </w:t>
      </w:r>
      <w:r>
        <w:rPr>
          <w:rFonts w:eastAsia="Times New Roman"/>
          <w:color w:val="000000"/>
          <w:lang w:val="pl-PL"/>
        </w:rPr>
        <w:t>dopuszczenie i wprowadzenie do obrotu na rynku regulowanym prowadzonym przez Giełdę Papierów Wartościowych w Warszawie S.A. praw do akcji serii B, akcji serii B, akcji serii C oraz zmiany Statutu;</w:t>
      </w:r>
    </w:p>
    <w:p w:rsidR="00E41B1B" w:rsidRDefault="003A08B6">
      <w:pPr>
        <w:pStyle w:val="Akapitzlist"/>
        <w:numPr>
          <w:ilvl w:val="0"/>
          <w:numId w:val="7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Powzięcie uchwały w sprawie zmiany Statutu Spółki;</w:t>
      </w:r>
    </w:p>
    <w:p w:rsidR="00E41B1B" w:rsidRDefault="003A08B6">
      <w:pPr>
        <w:pStyle w:val="Akapitzlist"/>
        <w:numPr>
          <w:ilvl w:val="0"/>
          <w:numId w:val="7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Zamknięcie obrad Nadzwyczajnego Walnego Zgromadzenia.</w:t>
      </w:r>
    </w:p>
    <w:p w:rsidR="00E41B1B" w:rsidRDefault="003A08B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:rsidR="00E41B1B" w:rsidRDefault="003A08B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:rsidR="00E41B1B" w:rsidRDefault="003A08B6">
      <w:pPr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br w:type="page"/>
      </w:r>
    </w:p>
    <w:p w:rsidR="00E41B1B" w:rsidRDefault="003A08B6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lastRenderedPageBreak/>
        <w:t>Ad 4 porządku obrad:</w:t>
      </w:r>
    </w:p>
    <w:p w:rsidR="00E41B1B" w:rsidRDefault="00E41B1B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3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Nadzwyczajnego Walnego Zgromadzenia 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PRKil S.A. z siedzibą w Warszawie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dnia </w:t>
      </w:r>
      <w:r>
        <w:rPr>
          <w:rFonts w:eastAsia="Calibri"/>
          <w:b/>
          <w:lang w:val="pl-PL"/>
        </w:rPr>
        <w:t>13 września 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E41B1B">
        <w:tc>
          <w:tcPr>
            <w:tcW w:w="1242" w:type="dxa"/>
          </w:tcPr>
          <w:p w:rsidR="00E41B1B" w:rsidRDefault="003A08B6">
            <w:pPr>
              <w:spacing w:before="120" w:after="120"/>
              <w:ind w:right="-48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  <w:r>
              <w:rPr>
                <w:rFonts w:eastAsia="Times New Roman"/>
                <w:b/>
                <w:color w:val="000000"/>
                <w:lang w:val="pl-PL"/>
              </w:rPr>
              <w:t xml:space="preserve"> </w:t>
            </w:r>
          </w:p>
        </w:tc>
        <w:tc>
          <w:tcPr>
            <w:tcW w:w="7998" w:type="dxa"/>
          </w:tcPr>
          <w:p w:rsidR="00E41B1B" w:rsidRDefault="003A08B6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podwyższenia kapitału zakładowego Spółki poprzez emisję akcji zwykłych na okaziciela serii B oraz akcji zwykłych imiennych serii C w drodze subskrypcji prywatnej z wyłączeniem w całości prawa poboru dotychczasowych akcjonariuszy, dematerializacji oraz ub</w:t>
            </w:r>
            <w:r>
              <w:rPr>
                <w:rFonts w:eastAsia="Times New Roman"/>
                <w:i/>
                <w:color w:val="000000"/>
                <w:lang w:val="pl-PL"/>
              </w:rPr>
              <w:t>iegania się o dopuszczenie i wprowadzenie do obrotu na rynku regulowanym prowadzonym przez Giełdę Papierów Wartościowych w</w:t>
            </w:r>
            <w:r>
              <w:rPr>
                <w:rFonts w:eastAsia="Times New Roman"/>
                <w:b/>
                <w:i/>
                <w:color w:val="000000"/>
                <w:lang w:val="pl-PL"/>
              </w:rPr>
              <w:t xml:space="preserve"> </w:t>
            </w:r>
            <w:r>
              <w:rPr>
                <w:rFonts w:eastAsia="Times New Roman"/>
                <w:i/>
                <w:color w:val="000000"/>
                <w:lang w:val="pl-PL"/>
              </w:rPr>
              <w:t>Warszawie S.A. praw do akcji serii B, akcji serii B, akcji serii C oraz zmiany Statutu.</w:t>
            </w:r>
          </w:p>
        </w:tc>
      </w:tr>
    </w:tbl>
    <w:p w:rsidR="00E41B1B" w:rsidRDefault="003A08B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:rsidR="00E41B1B" w:rsidRDefault="003A08B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Działając na podstawie art. 431 § 1, </w:t>
      </w:r>
      <w:r>
        <w:rPr>
          <w:rFonts w:eastAsia="Times New Roman"/>
          <w:color w:val="000000"/>
          <w:lang w:val="pl-PL"/>
        </w:rPr>
        <w:t>431 § 2 pkt 1) w zw. z art. 310 § 2, art. 432 § 1 i art. 433 § 2 ustawy z dnia 15 września 2000 r. Kodeks spółek handlowych („</w:t>
      </w:r>
      <w:r>
        <w:rPr>
          <w:rFonts w:eastAsia="Times New Roman"/>
          <w:b/>
          <w:color w:val="000000"/>
          <w:lang w:val="pl-PL"/>
        </w:rPr>
        <w:t>Kodeks spółek handlowych</w:t>
      </w:r>
      <w:r>
        <w:rPr>
          <w:rFonts w:eastAsia="Times New Roman"/>
          <w:color w:val="000000"/>
          <w:lang w:val="pl-PL"/>
        </w:rPr>
        <w:t>”), Nadzwyczajne Walne Zgromadzenie Trakcja PRKil S.A. z siedzibą w Warszawie („</w:t>
      </w:r>
      <w:r>
        <w:rPr>
          <w:rFonts w:eastAsia="Times New Roman"/>
          <w:b/>
          <w:color w:val="000000"/>
          <w:lang w:val="pl-PL"/>
        </w:rPr>
        <w:t>Spółka</w:t>
      </w:r>
      <w:r>
        <w:rPr>
          <w:rFonts w:eastAsia="Times New Roman"/>
          <w:color w:val="000000"/>
          <w:lang w:val="pl-PL"/>
        </w:rPr>
        <w:t>”) uchwala co następ</w:t>
      </w:r>
      <w:r>
        <w:rPr>
          <w:rFonts w:eastAsia="Times New Roman"/>
          <w:color w:val="000000"/>
          <w:lang w:val="pl-PL"/>
        </w:rPr>
        <w:t>uje: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09" w:right="-48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kapitał zakładowy Spółki zostaje podwyższony z kwoty 41.119.638,40 zł (czterdzieści jeden milionów sto dziewiętnaście tysięcy sześćset trzydzieści osiem złotych i czterdzieści groszy) o kwotę nie mniejszą niż 1,60 zł (jeden złoty i sześćdziesiąt grosz</w:t>
      </w:r>
      <w:r>
        <w:rPr>
          <w:rFonts w:eastAsia="Times New Roman"/>
          <w:color w:val="000000"/>
          <w:lang w:val="pl-PL"/>
        </w:rPr>
        <w:t>y) i nie większą niż [●] zł ([●]), tj. do kwoty nie niższej niż 41.119.640,00 zł (czterdzieści jeden milionów sto dziewiętnaście tysięcy sześćset czterdzieści złotych) i nie wyższej niż [●] zł ([●]);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podwyższenie kapitału zakładowego Spółki, o którym mowa </w:t>
      </w:r>
      <w:r>
        <w:rPr>
          <w:rFonts w:eastAsia="Times New Roman"/>
          <w:color w:val="000000"/>
          <w:lang w:val="pl-PL"/>
        </w:rPr>
        <w:t>w ust. 1), zostanie dokonane poprzez emisję nie mniej niż 1 (jeden) i nie więcej niż 10.279.909 (dziesięć milionów dwieście siedemdziesiąt dziewięć tysięcy dziewięćset dziewięć) akcji zwykłych na okaziciela serii B, o wartości nominalnej 0,80 zł (osiemdzie</w:t>
      </w:r>
      <w:r>
        <w:rPr>
          <w:rFonts w:eastAsia="Times New Roman"/>
          <w:color w:val="000000"/>
          <w:lang w:val="pl-PL"/>
        </w:rPr>
        <w:t>siąt groszy) każda („</w:t>
      </w:r>
      <w:r>
        <w:rPr>
          <w:rFonts w:eastAsia="Times New Roman"/>
          <w:b/>
          <w:color w:val="000000"/>
          <w:lang w:val="pl-PL"/>
        </w:rPr>
        <w:t>Akcje Serii B</w:t>
      </w:r>
      <w:r>
        <w:rPr>
          <w:rFonts w:eastAsia="Times New Roman"/>
          <w:color w:val="000000"/>
          <w:lang w:val="pl-PL"/>
        </w:rPr>
        <w:t>”), oraz nie mniej niż 1 (jeden) i nie więcej niż [●] ([●]) akcji zwykłych imiennych serii C, o wartości nominalnej 0,80 zł (osiemdziesiąt groszy) każda („</w:t>
      </w:r>
      <w:r>
        <w:rPr>
          <w:rFonts w:eastAsia="Times New Roman"/>
          <w:b/>
          <w:color w:val="000000"/>
          <w:lang w:val="pl-PL"/>
        </w:rPr>
        <w:t>Akcje Serii C</w:t>
      </w:r>
      <w:r>
        <w:rPr>
          <w:rFonts w:eastAsia="Times New Roman"/>
          <w:color w:val="000000"/>
          <w:lang w:val="pl-PL"/>
        </w:rPr>
        <w:t xml:space="preserve">”), przy czym akcje te zostaną docelowo zamienione na </w:t>
      </w:r>
      <w:r>
        <w:rPr>
          <w:rFonts w:eastAsia="Times New Roman"/>
          <w:color w:val="000000"/>
          <w:lang w:val="pl-PL"/>
        </w:rPr>
        <w:t>akcje na okaziciela zgodnie z postanowieniami niniejszej Uchwały. Akcje Serii B oraz Akcje Serii C będą posiadały jednakowe uprawnienia;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09" w:right="-48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Zarząd Spółki, po uprzednim uzyskaniu zgody Rady Nadzorczej Spółki, jest upoważniony do ustalenia ostatecznych warunków</w:t>
      </w:r>
      <w:r>
        <w:rPr>
          <w:rFonts w:eastAsia="Times New Roman"/>
          <w:color w:val="000000"/>
          <w:lang w:val="pl-PL"/>
        </w:rPr>
        <w:t xml:space="preserve"> oferty objęcia Akcji Serii B oraz Akcji Serii C, z zastrzeżeniem, że cena emisyjna Akcji Serii B oraz Akcji Serii C nie będzie niższa niż [●] PLN. Cena emisyjna będzie jednakowa dla Akcji Serii B oraz Akcji Serii C. </w:t>
      </w:r>
    </w:p>
    <w:p w:rsidR="00E41B1B" w:rsidRDefault="003A08B6" w:rsidP="003A08B6">
      <w:pPr>
        <w:pStyle w:val="Akapitzlist"/>
        <w:numPr>
          <w:ilvl w:val="0"/>
          <w:numId w:val="26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lang w:val="pl-PL"/>
        </w:rPr>
        <w:t xml:space="preserve">Akcje Serii B oraz Akcje Serii C będą </w:t>
      </w:r>
      <w:r>
        <w:rPr>
          <w:lang w:val="pl-PL"/>
        </w:rPr>
        <w:t xml:space="preserve">uczestniczyć w dywidendzie, na równi z pozostałymi akcjami Spółki, </w:t>
      </w:r>
      <w:r>
        <w:rPr>
          <w:lang w:val="pl-PL"/>
        </w:rPr>
        <w:t xml:space="preserve"> </w:t>
      </w:r>
      <w:r>
        <w:rPr>
          <w:lang w:val="pl-PL"/>
        </w:rPr>
        <w:t>począwszy od dywidendy za rok obrotowy 2019, tj. począwszy od dnia 1 stycznia 2019 r.</w:t>
      </w:r>
      <w:r>
        <w:rPr>
          <w:lang w:val="pl-PL"/>
        </w:rPr>
        <w:t>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Akcje Serii B oraz Akcje Serii C pokryte zostaną wyłąc</w:t>
      </w:r>
      <w:r>
        <w:rPr>
          <w:rFonts w:eastAsia="Times New Roman"/>
          <w:color w:val="000000"/>
          <w:lang w:val="pl-PL"/>
        </w:rPr>
        <w:t>znie wkładami pieniężnymi przed zarejestrowaniem podwyższenia kapitału zakładowego dokonanego w drodze emisji Akcji Serii B oraz Akcji Serii C;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emisja Akcji Serii B oraz Akcji Serii C zostanie przeprowadzona w drodze subskrypcji prywatnej, o której mowa w </w:t>
      </w:r>
      <w:r>
        <w:rPr>
          <w:rFonts w:eastAsia="Times New Roman"/>
          <w:color w:val="000000"/>
          <w:lang w:val="pl-PL"/>
        </w:rPr>
        <w:t>art. 431 § 2 pkt 1) Kodeksu spółek handlowych, będzie skierowana do nie więcej niż 149 potencjalnych</w:t>
      </w:r>
      <w:r>
        <w:rPr>
          <w:rFonts w:eastAsia="Times New Roman"/>
          <w:color w:val="000000"/>
          <w:lang w:val="pl-PL"/>
        </w:rPr>
        <w:t xml:space="preserve"> inwestorów</w:t>
      </w:r>
      <w:r>
        <w:rPr>
          <w:rFonts w:eastAsia="Times New Roman"/>
          <w:color w:val="000000"/>
          <w:lang w:val="pl-PL"/>
        </w:rPr>
        <w:t>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ustala się, że objęcie Akcji Serii B oraz Akcji Serii C nastąpi zgodnie z poniższymi zasadami:</w:t>
      </w:r>
    </w:p>
    <w:p w:rsidR="00E41B1B" w:rsidRDefault="003A08B6">
      <w:pPr>
        <w:pStyle w:val="Akapitzlist"/>
        <w:numPr>
          <w:ilvl w:val="0"/>
          <w:numId w:val="18"/>
        </w:numPr>
        <w:spacing w:after="240"/>
        <w:ind w:left="144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lastRenderedPageBreak/>
        <w:t>Zarząd proporcjonalnie zaoferuje Akcje Serii B l</w:t>
      </w:r>
      <w:r>
        <w:rPr>
          <w:rFonts w:eastAsia="Times New Roman"/>
          <w:color w:val="000000"/>
          <w:lang w:val="pl-PL"/>
        </w:rPr>
        <w:t>ub Akcje Serii C akcjonariuszom Spółki, którzy będą posiadać akcje Spółki w liczbie reprezentującej więcej niż 0,5% kapitału zakładowego Spółki w dniu rejestracji uczestnictwa na Nadzwyczajnym Walnym Zgromadzeniu, i którzy zarejestrowali te akcje na Nadzwy</w:t>
      </w:r>
      <w:r>
        <w:rPr>
          <w:rFonts w:eastAsia="Times New Roman"/>
          <w:color w:val="000000"/>
          <w:lang w:val="pl-PL"/>
        </w:rPr>
        <w:t>czajnym Walnym Zgromadzeniu zwołanym na dzień 13 września 2019 r.</w:t>
      </w:r>
      <w:r>
        <w:rPr>
          <w:rFonts w:eastAsia="Times New Roman"/>
          <w:b/>
          <w:color w:val="000000"/>
          <w:lang w:val="pl-PL"/>
        </w:rPr>
        <w:t xml:space="preserve"> </w:t>
      </w:r>
      <w:r>
        <w:rPr>
          <w:rFonts w:eastAsia="Times New Roman"/>
          <w:color w:val="000000"/>
          <w:lang w:val="pl-PL"/>
        </w:rPr>
        <w:t>lub którzy przedstawią dokument potwierdzający, że dany akcjonariusz był akcjonariuszem Spółki w dniu rejestracji uczestnictwa na Nadzwyczajnym Walnym Zgromadzeniu</w:t>
      </w:r>
      <w:r>
        <w:rPr>
          <w:rFonts w:eastAsia="Times New Roman"/>
          <w:b/>
          <w:color w:val="000000"/>
          <w:lang w:val="pl-PL"/>
        </w:rPr>
        <w:t xml:space="preserve"> </w:t>
      </w:r>
      <w:r>
        <w:rPr>
          <w:rFonts w:eastAsia="Times New Roman"/>
          <w:color w:val="000000"/>
          <w:lang w:val="pl-PL"/>
        </w:rPr>
        <w:t>i którzy wezmą udział w pr</w:t>
      </w:r>
      <w:r>
        <w:rPr>
          <w:rFonts w:eastAsia="Times New Roman"/>
          <w:color w:val="000000"/>
          <w:lang w:val="pl-PL"/>
        </w:rPr>
        <w:t>ocesie budowy księgi popytu na Akcje Serii B oraz Akcje Serii C i zadeklarują zamiar objęcia Akcji Serii B lub Akcji Serii C po cenie nie niższej niż ustalona przez Zarząd cena emisyjna Akcji Serii B oraz Akcji Serii C, proporcjonalnie do ich udziału w kap</w:t>
      </w:r>
      <w:r>
        <w:rPr>
          <w:rFonts w:eastAsia="Times New Roman"/>
          <w:color w:val="000000"/>
          <w:lang w:val="pl-PL"/>
        </w:rPr>
        <w:t>itale zakładowym Spółki („</w:t>
      </w:r>
      <w:r>
        <w:rPr>
          <w:rFonts w:eastAsia="Times New Roman"/>
          <w:b/>
          <w:color w:val="000000"/>
          <w:lang w:val="pl-PL"/>
        </w:rPr>
        <w:t>Uprawnieni Akcjonariusze</w:t>
      </w:r>
      <w:r>
        <w:rPr>
          <w:rFonts w:eastAsia="Times New Roman"/>
          <w:color w:val="000000"/>
          <w:lang w:val="pl-PL"/>
        </w:rPr>
        <w:t>”), przy czym Zarząd Spółki będzie zobowiązany do umożliwienia każdemu z Uprawnionych Akcjonariuszy do wzięcia udziału w procesie budowy księgi popytu na Akcje Serii B oraz Akcje Serii C. Zarząd zaoferuje A</w:t>
      </w:r>
      <w:r>
        <w:rPr>
          <w:rFonts w:eastAsia="Times New Roman"/>
          <w:color w:val="000000"/>
          <w:lang w:val="pl-PL"/>
        </w:rPr>
        <w:t>kcje Serii B lub Akcje Serii C Uprawnionym Akcjonariuszom w liczbie proporcjonalnej do posiadanego przez danego Uprawnionego Akcjonariusza udziału w kapitale zakładowym Spółki. Oferty objęcia Akcji Serii B oraz Akcji Serii C, z którymi Zarząd zwróci się do</w:t>
      </w:r>
      <w:r>
        <w:rPr>
          <w:rFonts w:eastAsia="Times New Roman"/>
          <w:color w:val="000000"/>
          <w:lang w:val="pl-PL"/>
        </w:rPr>
        <w:t xml:space="preserve"> Uprawnionych Akcjonariuszy, wskazywać będą cenę za Akcje Serii B oraz Akcje Serii C, ustaloną zgodnie z treścią niniejszej uchwały; </w:t>
      </w:r>
    </w:p>
    <w:p w:rsidR="00E41B1B" w:rsidRDefault="003A08B6">
      <w:pPr>
        <w:pStyle w:val="Akapitzlist"/>
        <w:numPr>
          <w:ilvl w:val="0"/>
          <w:numId w:val="18"/>
        </w:numPr>
        <w:spacing w:after="240"/>
        <w:ind w:left="144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równocześnie Zarząd zaoferuje Akcje Serii B lub Akcje Serii C inwestorowi strategicznemu, według kryteriów ustalonych prze</w:t>
      </w:r>
      <w:r>
        <w:rPr>
          <w:rFonts w:eastAsia="Times New Roman"/>
          <w:color w:val="000000"/>
          <w:lang w:val="pl-PL"/>
        </w:rPr>
        <w:t>z Zarząd i zatwierdzonych przez Radę Nadzorczą („</w:t>
      </w:r>
      <w:r>
        <w:rPr>
          <w:rFonts w:eastAsia="Times New Roman"/>
          <w:b/>
          <w:color w:val="000000"/>
          <w:lang w:val="pl-PL"/>
        </w:rPr>
        <w:t>Uprawniony Inwestor</w:t>
      </w:r>
      <w:r>
        <w:rPr>
          <w:rFonts w:eastAsia="Times New Roman"/>
          <w:color w:val="000000"/>
          <w:lang w:val="pl-PL"/>
        </w:rPr>
        <w:t>”);</w:t>
      </w:r>
    </w:p>
    <w:p w:rsidR="00E41B1B" w:rsidRDefault="003A08B6">
      <w:pPr>
        <w:pStyle w:val="Akapitzlist"/>
        <w:numPr>
          <w:ilvl w:val="0"/>
          <w:numId w:val="18"/>
        </w:numPr>
        <w:spacing w:after="240"/>
        <w:ind w:left="144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 przypadku, jeżeli w wyniku wstępnej alokacji Akcji Serii B oraz Akcji Serii C Uprawnionym Akcjonariuszom zgodnie z lit. a) powyżej oraz Uprawnionemu Inwestorowi zgodnie z lit. b) pow</w:t>
      </w:r>
      <w:r>
        <w:rPr>
          <w:rFonts w:eastAsia="Times New Roman"/>
          <w:color w:val="000000"/>
          <w:lang w:val="pl-PL"/>
        </w:rPr>
        <w:t>yżej pozostaną Akcje Serii B lub Akcje Serii C nieobjęte przez Uprawnionych Akcjonariuszy lub Uprawnionego Inwestora, Zarząd Spółki będzie uprawniony do zaoferowania nieobjętych Akcji Serii B lub Akcji Serii C innym inwestorom, którzy zostaną wybrani przez</w:t>
      </w:r>
      <w:r>
        <w:rPr>
          <w:rFonts w:eastAsia="Times New Roman"/>
          <w:color w:val="000000"/>
          <w:lang w:val="pl-PL"/>
        </w:rPr>
        <w:t xml:space="preserve"> Zarząd według kryteriów ustalonych wedle uznania Zarządu i zatwierdzonych przez Radę Nadzorczą;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umowy objęcia Akcji Serii B oraz Akcji Serii C powinny zostać zawarte w terminie do dnia [●] 2019 roku;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prawa do Akcji Serii B, Akcje Serii B oraz Akcje Serii </w:t>
      </w:r>
      <w:r>
        <w:rPr>
          <w:rFonts w:eastAsia="Times New Roman"/>
          <w:color w:val="000000"/>
          <w:lang w:val="pl-PL"/>
        </w:rPr>
        <w:t>C będą przedmiotem ubiegania się o dopuszczenie i wprowadzenie do obrotu na rynku regulowanym prowadzonym przez Giełdę Papierów Wartościowych w Warszawie S.A. („</w:t>
      </w:r>
      <w:r>
        <w:rPr>
          <w:rFonts w:eastAsia="Times New Roman"/>
          <w:b/>
          <w:color w:val="000000"/>
          <w:lang w:val="pl-PL"/>
        </w:rPr>
        <w:t>GPW</w:t>
      </w:r>
      <w:r>
        <w:rPr>
          <w:rFonts w:eastAsia="Times New Roman"/>
          <w:color w:val="000000"/>
          <w:lang w:val="pl-PL"/>
        </w:rPr>
        <w:t>”), przy czym:</w:t>
      </w:r>
    </w:p>
    <w:p w:rsidR="00E41B1B" w:rsidRDefault="003A08B6">
      <w:pPr>
        <w:pStyle w:val="Akapitzlist"/>
        <w:numPr>
          <w:ilvl w:val="0"/>
          <w:numId w:val="19"/>
        </w:numPr>
        <w:spacing w:after="240"/>
        <w:ind w:left="144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Akcje Serii B w maksymalnej liczbie, która może zostać wyemitowana przez Spół</w:t>
      </w:r>
      <w:r>
        <w:rPr>
          <w:rFonts w:eastAsia="Times New Roman"/>
          <w:color w:val="000000"/>
          <w:lang w:val="pl-PL"/>
        </w:rPr>
        <w:t xml:space="preserve">kę, stanowią mniej niż 20% dopuszczonych do obrotu na tym rynku regulowanym akcji Spółki, są z nimi tożsame i łącznie z akcjami dopuszczonymi do obrotu na tym rynku regulowanym w ten sposób w okresie poprzednich 12 miesięcy, nie osiągną lub nie przekroczą </w:t>
      </w:r>
      <w:r>
        <w:rPr>
          <w:rFonts w:eastAsia="Times New Roman"/>
          <w:color w:val="000000"/>
          <w:lang w:val="pl-PL"/>
        </w:rPr>
        <w:t>tej wartości, wobec czego, na mocy art. 1 ust. 5 lit. a) rozporządzenia Parlamentu Europejskiego i Rady (UE) 2017/1129 z dnia 14 czerwca 2017 r. w sprawie prospektu, który ma być publikowany w związku z ofertą publiczną papierów wartościowych lub dopuszcze</w:t>
      </w:r>
      <w:r>
        <w:rPr>
          <w:rFonts w:eastAsia="Times New Roman"/>
          <w:color w:val="000000"/>
          <w:lang w:val="pl-PL"/>
        </w:rPr>
        <w:t>niem ich do obrotu na rynku regulowanym oraz uchylenia dyrektywy 2003/71/WE („</w:t>
      </w:r>
      <w:r>
        <w:rPr>
          <w:rFonts w:eastAsia="Times New Roman"/>
          <w:b/>
          <w:color w:val="000000"/>
          <w:lang w:val="pl-PL"/>
        </w:rPr>
        <w:t>Rozporządzenie</w:t>
      </w:r>
      <w:r>
        <w:rPr>
          <w:rFonts w:eastAsia="Times New Roman"/>
          <w:color w:val="000000"/>
          <w:lang w:val="pl-PL"/>
        </w:rPr>
        <w:t>”), dopuszczenie Akcji Serii B do obrotu na rynku regulowanym nie wymaga sporządzenia i udostępnienia do publicznej wiadomości prospektu;</w:t>
      </w:r>
    </w:p>
    <w:p w:rsidR="00E41B1B" w:rsidRDefault="003A08B6">
      <w:pPr>
        <w:pStyle w:val="Akapitzlist"/>
        <w:numPr>
          <w:ilvl w:val="0"/>
          <w:numId w:val="19"/>
        </w:numPr>
        <w:spacing w:after="240"/>
        <w:ind w:left="144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liczba praw do Akcji Serii</w:t>
      </w:r>
      <w:r>
        <w:rPr>
          <w:rFonts w:eastAsia="Times New Roman"/>
          <w:color w:val="000000"/>
          <w:lang w:val="pl-PL"/>
        </w:rPr>
        <w:t xml:space="preserve"> B będzie tożsama z liczbą Akcji Serii B wskazaną w lit. a) powyżej, których dopuszczenie do obrotu na rynku regulowanym nie wymaga sporządzenia i udostępnienia do publicznej wiadomości prospektu zgodnie z art. 1 ust. 5 lit. a) Rozporządzenia i prawa do Ak</w:t>
      </w:r>
      <w:r>
        <w:rPr>
          <w:rFonts w:eastAsia="Times New Roman"/>
          <w:color w:val="000000"/>
          <w:lang w:val="pl-PL"/>
        </w:rPr>
        <w:t xml:space="preserve">cji Serii B (PDA) będą przedmiotem </w:t>
      </w:r>
      <w:r>
        <w:rPr>
          <w:rFonts w:eastAsia="Times New Roman"/>
          <w:color w:val="000000"/>
          <w:lang w:val="pl-PL"/>
        </w:rPr>
        <w:lastRenderedPageBreak/>
        <w:t>ubiegania się o dopuszczenie i wprowadzenie do obrotu, jeżeli zostaną spełnione określone przez GPW kryteria oraz warunki dopuszczenia i wprowadzenia praw do Akcji Serii B do obrotu;</w:t>
      </w:r>
    </w:p>
    <w:p w:rsidR="00E41B1B" w:rsidRDefault="003A08B6">
      <w:pPr>
        <w:pStyle w:val="Akapitzlist"/>
        <w:numPr>
          <w:ilvl w:val="0"/>
          <w:numId w:val="19"/>
        </w:numPr>
        <w:spacing w:after="240"/>
        <w:ind w:left="144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Akcje Serii C będą przedmiotem ubiegan</w:t>
      </w:r>
      <w:r>
        <w:rPr>
          <w:rFonts w:eastAsia="Times New Roman"/>
          <w:color w:val="000000"/>
          <w:lang w:val="pl-PL"/>
        </w:rPr>
        <w:t>ia się o dopuszczenie do obrotu na rynku regulowanym prowadzonym przez GPW po uprzedniej zamianie Akcji Serii C na akcje na okaziciela, oraz, w przypadku gdy będzie to wymagane bezwzględnie obowiązującymi przepisami prawa, po uprzednim zatwierdzeniu i udos</w:t>
      </w:r>
      <w:r>
        <w:rPr>
          <w:rFonts w:eastAsia="Times New Roman"/>
          <w:color w:val="000000"/>
          <w:lang w:val="pl-PL"/>
        </w:rPr>
        <w:t>tępnieniu do publicznej wiadomości prospektu, który zostanie sporządzony i przekazany do zatwierdzenia przez Komisję Nadzoru Finansowego („</w:t>
      </w:r>
      <w:r>
        <w:rPr>
          <w:rFonts w:eastAsia="Times New Roman"/>
          <w:b/>
          <w:color w:val="000000"/>
          <w:lang w:val="pl-PL"/>
        </w:rPr>
        <w:t>KNF</w:t>
      </w:r>
      <w:r>
        <w:rPr>
          <w:rFonts w:eastAsia="Times New Roman"/>
          <w:color w:val="000000"/>
          <w:lang w:val="pl-PL"/>
        </w:rPr>
        <w:t>”), w możliwie najkrótszym terminie, jednak nie później niż 4 miesiące po podjęciu niniejszej uchwały;</w:t>
      </w:r>
    </w:p>
    <w:p w:rsidR="00E41B1B" w:rsidRDefault="003A08B6">
      <w:pPr>
        <w:pStyle w:val="Akapitzlist"/>
        <w:numPr>
          <w:ilvl w:val="0"/>
          <w:numId w:val="2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Akcje </w:t>
      </w:r>
      <w:r>
        <w:rPr>
          <w:rFonts w:eastAsia="Times New Roman"/>
          <w:color w:val="000000"/>
          <w:lang w:val="pl-PL"/>
        </w:rPr>
        <w:t>Serii B oraz Akcje Serii C, z zastrzeżeniem pkt 9) lit. c) powyżej, będą podlegać dematerializacji w rozumieniu Ustawy o obrocie instrumentami finansowymi z dnia 29 lipca 2005 r.</w:t>
      </w:r>
    </w:p>
    <w:p w:rsidR="00E41B1B" w:rsidRDefault="003A08B6">
      <w:pPr>
        <w:spacing w:after="240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:rsidR="00E41B1B" w:rsidRDefault="003A08B6">
      <w:pPr>
        <w:spacing w:after="24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 interesie Spółki pozbawia się dotychczasowych akcjonariuszy w całości p</w:t>
      </w:r>
      <w:r>
        <w:rPr>
          <w:rFonts w:eastAsia="Times New Roman"/>
          <w:color w:val="000000"/>
          <w:lang w:val="pl-PL"/>
        </w:rPr>
        <w:t>rawa poboru do objęcia wszystkich akcji nowej emisji, tj. Akcji Serii B oraz Akcji Serii C. Przyjmuje się do wiadomości opinię Zarządu uzasadniającą pozbawienie akcjonariuszy prawa poboru Akcji Serii B oraz Akcji Serii C oraz wskazującą sposób ustalenia ce</w:t>
      </w:r>
      <w:r>
        <w:rPr>
          <w:rFonts w:eastAsia="Times New Roman"/>
          <w:color w:val="000000"/>
          <w:lang w:val="pl-PL"/>
        </w:rPr>
        <w:t>ny emisyjnej Akcji Serii B oraz Akcji Serii C przedstawioną na piśmie Nadzwyczajnemu Walnemu Zgromadzeniu Spółki, która stanowi załącznik do niniejszej uchwały.</w:t>
      </w:r>
    </w:p>
    <w:p w:rsidR="00E41B1B" w:rsidRDefault="003A08B6">
      <w:pPr>
        <w:spacing w:after="240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3</w:t>
      </w:r>
    </w:p>
    <w:p w:rsidR="00E41B1B" w:rsidRDefault="003A08B6">
      <w:pPr>
        <w:spacing w:after="24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Upoważnia się i zobowiązuje Zarząd Spółki do dokonania wszelkich czynności prawnych i fakty</w:t>
      </w:r>
      <w:r>
        <w:rPr>
          <w:rFonts w:eastAsia="Times New Roman"/>
          <w:color w:val="000000"/>
          <w:lang w:val="pl-PL"/>
        </w:rPr>
        <w:t>cznych w celu podwyższenia kapitału zakładowego Spółki na podstawie niniejszej Uchwały, w tym w szczególności: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do ustalenia ostatecznych warunków oferty objęcia, subskrypcji i przydziału Akcji Serii B oraz Akcji Serii C, harmonogramu oferty oraz do </w:t>
      </w:r>
      <w:r>
        <w:rPr>
          <w:rFonts w:eastAsia="Times New Roman"/>
          <w:color w:val="000000"/>
          <w:lang w:val="pl-PL"/>
        </w:rPr>
        <w:t>ustalenia ceny emisyjnej Akcji Serii B oraz Akcji Serii C, po uprzednim uzyskaniu zgody Rady Nadzorczej Spółki;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określenia ostatecznej liczby oferowanych Akcji Serii B oraz Akcji Serii C, po uprzednim uzyskaniu zgody Rady Nadzorczej Spółki;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przygotowania l</w:t>
      </w:r>
      <w:r>
        <w:rPr>
          <w:rFonts w:eastAsia="Times New Roman"/>
          <w:color w:val="000000"/>
          <w:lang w:val="pl-PL"/>
        </w:rPr>
        <w:t>isty Uprawnionych Akcjonariuszy, Uprawnionego Inwestora oraz innych inwestorów, którym zostaną przydzielone Akcje Serii B oraz Akcje Serii C, wskazującą liczbę Akcji Serii B oraz Akcji Serii C, które zostaną przydzielone każdemu inwestorowi, po uprzednim u</w:t>
      </w:r>
      <w:r>
        <w:rPr>
          <w:rFonts w:eastAsia="Times New Roman"/>
          <w:color w:val="000000"/>
          <w:lang w:val="pl-PL"/>
        </w:rPr>
        <w:t>zyskaniu zgody Rady Nadzorczej;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określenia ostatecznej sumy, o jaką ma być podwyższony kapitał zakładowy Spółki w związku z emisją Akcji Serii B oraz Akcji Serii C, przy czym tak określona suma nie może być niższa od minimalnej sumy podwyższenia ani wyższa</w:t>
      </w:r>
      <w:r>
        <w:rPr>
          <w:rFonts w:eastAsia="Times New Roman"/>
          <w:color w:val="000000"/>
          <w:lang w:val="pl-PL"/>
        </w:rPr>
        <w:t xml:space="preserve"> od maksymalnej sumy podwyższenia wskazanej w §1 pkt 1) niniejszej Uchwały, po uprzednim uzyskaniu zgody Rady Nadzorczej Spółki;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złożenia ofert objęcia Akcji Serii B oraz Akcji Serii C na zasadach przewidzianych w niniejszej Uchwale;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ustalenia treści umów </w:t>
      </w:r>
      <w:r>
        <w:rPr>
          <w:rFonts w:eastAsia="Times New Roman"/>
          <w:color w:val="000000"/>
          <w:lang w:val="pl-PL"/>
        </w:rPr>
        <w:t>objęcia Akcji Serii B oraz Akcji Serii C, oraz zawarcia umów o objęciu Akcji Serii B oraz Akcji Serii C;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lastRenderedPageBreak/>
        <w:t>złożenia na podstawie art. 310 § 2 Kodeksu spółek handlowych, przed złożeniem wniosku o zarejestrowanie podwyższenia kapitału, oświadczenia w formie ak</w:t>
      </w:r>
      <w:r>
        <w:rPr>
          <w:rFonts w:eastAsia="Times New Roman"/>
          <w:color w:val="000000"/>
          <w:lang w:val="pl-PL"/>
        </w:rPr>
        <w:t>tu notarialnego o wysokości objętego kapitału zakładowego;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podjęcia wszelkich czynności zmierzających do zarejestrowania w rejestrze przedsiębiorców Krajowego Rejestru Sądowego podwyższenia kapitału zakładowego dokonanego w drodze emisji Akcji Serii B oraz</w:t>
      </w:r>
      <w:r>
        <w:rPr>
          <w:rFonts w:eastAsia="Times New Roman"/>
          <w:color w:val="000000"/>
          <w:lang w:val="pl-PL"/>
        </w:rPr>
        <w:t xml:space="preserve"> Akcji Serii C oraz zmiany Statutu Spółki związanej z podwyższeniem kapitału zakładowego;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dokonania zamiany Akcji Serii C na akcje na okaziciela na wniosek akcjonariusza Spółki;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złożenia do KNF wniosku o zatwierdzenie prospektu emisyjnego w celu dopuszczen</w:t>
      </w:r>
      <w:r>
        <w:rPr>
          <w:rFonts w:eastAsia="Times New Roman"/>
          <w:color w:val="000000"/>
          <w:lang w:val="pl-PL"/>
        </w:rPr>
        <w:t>ia Akcji Serii C do obrotu na rynku regulowanym prowadzonym przez GPW zgodnie z § 1 pkt 9 lit. c) powyżej;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zawieszenia oferty lub wycofania ofert objęcia Akcji Serii B oraz Akcji Serii C, z zastrzeżeniem uzyskania wcześniejszej zgody Rady Nadzorczej Spółki</w:t>
      </w:r>
      <w:r>
        <w:rPr>
          <w:rFonts w:eastAsia="Times New Roman"/>
          <w:color w:val="000000"/>
          <w:lang w:val="pl-PL"/>
        </w:rPr>
        <w:t>; oraz</w:t>
      </w:r>
    </w:p>
    <w:p w:rsidR="00E41B1B" w:rsidRDefault="003A08B6">
      <w:pPr>
        <w:pStyle w:val="Akapitzlist"/>
        <w:numPr>
          <w:ilvl w:val="0"/>
          <w:numId w:val="13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dokonania wszelkich innych czynności związanych z realizacją postanowień niniejszej Uchwały.</w:t>
      </w:r>
    </w:p>
    <w:p w:rsidR="00E41B1B" w:rsidRDefault="003A08B6">
      <w:pPr>
        <w:spacing w:after="240"/>
        <w:jc w:val="center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4</w:t>
      </w:r>
    </w:p>
    <w:p w:rsidR="00E41B1B" w:rsidRDefault="003A08B6">
      <w:pPr>
        <w:pStyle w:val="Akapitzlist"/>
        <w:numPr>
          <w:ilvl w:val="0"/>
          <w:numId w:val="1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Nadzwyczajne Walne Zgromadzenie Spółki wyraża zgodę na podjęcie przez Zarząd Spółki wszelkich czynności mających na celu dopuszczenie i wprowadzenie pra</w:t>
      </w:r>
      <w:r>
        <w:rPr>
          <w:rFonts w:eastAsia="Times New Roman"/>
          <w:color w:val="000000"/>
          <w:lang w:val="pl-PL"/>
        </w:rPr>
        <w:t>w do akcji serii B, Akcji Serii B oraz Akcji Serii C do obrotu na rynku regulowanym prowadzonym przez GPW;</w:t>
      </w:r>
    </w:p>
    <w:p w:rsidR="00E41B1B" w:rsidRDefault="003A08B6">
      <w:pPr>
        <w:pStyle w:val="Akapitzlist"/>
        <w:numPr>
          <w:ilvl w:val="0"/>
          <w:numId w:val="16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Nadzwyczajne Walne Zgromadzenie Spółki upoważnia Zarząd Spółki do podjęcia wszelkich niezbędnych czynności prawnych i faktycznych, w tym do złożenia </w:t>
      </w:r>
      <w:r>
        <w:rPr>
          <w:rFonts w:eastAsia="Times New Roman"/>
          <w:color w:val="000000"/>
          <w:lang w:val="pl-PL"/>
        </w:rPr>
        <w:t>odpowiednich wniosków i zawiadomień, zgodnie z wymogami określonymi w przepisach prawa oraz regulacjami, uchwałami bądź wytycznymi GPW, KNF oraz Krajowego Depozytu Papierów Wartościowych w Warszawie S.A. („</w:t>
      </w:r>
      <w:r>
        <w:rPr>
          <w:rFonts w:eastAsia="Times New Roman"/>
          <w:b/>
          <w:color w:val="000000"/>
          <w:lang w:val="pl-PL"/>
        </w:rPr>
        <w:t>KDPW</w:t>
      </w:r>
      <w:r>
        <w:rPr>
          <w:rFonts w:eastAsia="Times New Roman"/>
          <w:color w:val="000000"/>
          <w:lang w:val="pl-PL"/>
        </w:rPr>
        <w:t>"), a także odpowiednich organów nadzoru, zwią</w:t>
      </w:r>
      <w:r>
        <w:rPr>
          <w:rFonts w:eastAsia="Times New Roman"/>
          <w:color w:val="000000"/>
          <w:lang w:val="pl-PL"/>
        </w:rPr>
        <w:t>zanych z:</w:t>
      </w:r>
    </w:p>
    <w:p w:rsidR="00E41B1B" w:rsidRDefault="003A08B6">
      <w:pPr>
        <w:numPr>
          <w:ilvl w:val="0"/>
          <w:numId w:val="4"/>
        </w:numPr>
        <w:tabs>
          <w:tab w:val="clear" w:pos="360"/>
        </w:tabs>
        <w:spacing w:after="240"/>
        <w:ind w:left="1440" w:hanging="72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Zatwierdzeniem przez KNF prospektu, przygotowanego w celu dopuszczenia Akcji Serii C do obrotu na rynku głównym prowadzonym przez GPW;</w:t>
      </w:r>
    </w:p>
    <w:p w:rsidR="00E41B1B" w:rsidRDefault="003A08B6">
      <w:pPr>
        <w:numPr>
          <w:ilvl w:val="0"/>
          <w:numId w:val="4"/>
        </w:numPr>
        <w:tabs>
          <w:tab w:val="clear" w:pos="360"/>
        </w:tabs>
        <w:spacing w:after="240"/>
        <w:ind w:left="1440" w:hanging="72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ubieganiem się o dopuszczenie oraz wprowadzenie praw do Akcji Serii B, Akcji Serii B oraz Akcji Serii C do obro</w:t>
      </w:r>
      <w:r>
        <w:rPr>
          <w:rFonts w:eastAsia="Times New Roman"/>
          <w:color w:val="000000"/>
          <w:lang w:val="pl-PL"/>
        </w:rPr>
        <w:t>tu na rynku głównym prowadzonym przez GPW;</w:t>
      </w:r>
    </w:p>
    <w:p w:rsidR="00E41B1B" w:rsidRDefault="003A08B6">
      <w:pPr>
        <w:numPr>
          <w:ilvl w:val="0"/>
          <w:numId w:val="4"/>
        </w:numPr>
        <w:tabs>
          <w:tab w:val="clear" w:pos="360"/>
        </w:tabs>
        <w:spacing w:after="240"/>
        <w:ind w:left="1440" w:hanging="72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dematerializacją praw do Akcji Serii B, Akcji Serii B oraz Akcji Serii C, w tym w szczególności do zawarcia z KDPW umów, których przedmiotem będzie rejestracja praw do Akcji Serii B, Akcji Serii B oraz Akcji Serii</w:t>
      </w:r>
      <w:r>
        <w:rPr>
          <w:rFonts w:eastAsia="Times New Roman"/>
          <w:color w:val="000000"/>
          <w:lang w:val="pl-PL"/>
        </w:rPr>
        <w:t xml:space="preserve"> C w depozycie papierów wartościowych KDPW.</w:t>
      </w:r>
    </w:p>
    <w:p w:rsidR="00E41B1B" w:rsidRDefault="003A08B6">
      <w:pPr>
        <w:spacing w:after="240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5</w:t>
      </w:r>
    </w:p>
    <w:p w:rsidR="00E41B1B" w:rsidRDefault="003A08B6">
      <w:pPr>
        <w:spacing w:after="24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W związku z podwyższeniem kapitału zakładowego w drodze emisji Akcji Serii B oraz Akcji Serii C Nadzwyczajne Walne Zgromadzenie Spółki, działając na podstawie art. 430 Kodeksu spółek handlowych, </w:t>
      </w:r>
      <w:r>
        <w:rPr>
          <w:rFonts w:eastAsia="Times New Roman"/>
          <w:color w:val="000000"/>
          <w:lang w:val="pl-PL"/>
        </w:rPr>
        <w:t>uchwala zmianę artykułu 21 Statutu Spółki, nadając mu następujące brzmienie:</w:t>
      </w:r>
    </w:p>
    <w:p w:rsidR="00E41B1B" w:rsidRDefault="003A08B6">
      <w:pPr>
        <w:pStyle w:val="Akapitzlist"/>
        <w:numPr>
          <w:ilvl w:val="2"/>
          <w:numId w:val="11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Kapitał zakładowy Spółki wynosi nie mniej niż 41.119.640,00 zł (czterdzieści jeden milionów sto dziewiętnaście tysięcy sześćset czterdzieści złotych) i nie więcej niż [●] zł ([●])</w:t>
      </w:r>
      <w:r>
        <w:rPr>
          <w:rFonts w:eastAsia="Times New Roman"/>
          <w:i/>
          <w:color w:val="000000"/>
          <w:lang w:val="pl-PL"/>
        </w:rPr>
        <w:t xml:space="preserve"> i dzieli się na:</w:t>
      </w:r>
    </w:p>
    <w:p w:rsidR="00E41B1B" w:rsidRDefault="003A08B6">
      <w:pPr>
        <w:numPr>
          <w:ilvl w:val="0"/>
          <w:numId w:val="5"/>
        </w:numPr>
        <w:tabs>
          <w:tab w:val="clear" w:pos="1080"/>
        </w:tabs>
        <w:spacing w:after="240"/>
        <w:ind w:left="1418" w:hanging="72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lastRenderedPageBreak/>
        <w:t>51.399.548 (pięćdziesiąt jeden milionów trzysta dziewięćdziesiąt dziewięć tysięcy pięćset czterdzieści osiem) akcji zwykłych na okaziciela serii A;</w:t>
      </w:r>
    </w:p>
    <w:p w:rsidR="00E41B1B" w:rsidRDefault="003A08B6">
      <w:pPr>
        <w:numPr>
          <w:ilvl w:val="0"/>
          <w:numId w:val="5"/>
        </w:numPr>
        <w:tabs>
          <w:tab w:val="clear" w:pos="1080"/>
        </w:tabs>
        <w:spacing w:after="240"/>
        <w:ind w:left="1418" w:hanging="72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nie więcej niż 10.279.909</w:t>
      </w:r>
      <w:r>
        <w:rPr>
          <w:rFonts w:asciiTheme="minorHAnsi" w:eastAsiaTheme="minorEastAsia" w:hAnsi="Arial" w:cstheme="minorBidi"/>
          <w:color w:val="000000" w:themeColor="text1"/>
          <w:kern w:val="24"/>
          <w:lang w:val="pl-PL"/>
        </w:rPr>
        <w:t xml:space="preserve"> </w:t>
      </w:r>
      <w:r>
        <w:rPr>
          <w:rFonts w:eastAsia="Times New Roman"/>
          <w:i/>
          <w:color w:val="000000"/>
          <w:lang w:val="pl-PL"/>
        </w:rPr>
        <w:t>(dziesięć milionów dwieście siedemdziesiąt dziewięć tysięcy dzie</w:t>
      </w:r>
      <w:r>
        <w:rPr>
          <w:rFonts w:eastAsia="Times New Roman"/>
          <w:i/>
          <w:color w:val="000000"/>
          <w:lang w:val="pl-PL"/>
        </w:rPr>
        <w:t>więćset dziewięć) akcji zwykłych na okaziciela serii B;</w:t>
      </w:r>
    </w:p>
    <w:p w:rsidR="00E41B1B" w:rsidRDefault="003A08B6">
      <w:pPr>
        <w:numPr>
          <w:ilvl w:val="0"/>
          <w:numId w:val="5"/>
        </w:numPr>
        <w:tabs>
          <w:tab w:val="clear" w:pos="1080"/>
        </w:tabs>
        <w:spacing w:after="240"/>
        <w:ind w:left="1418" w:hanging="72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 xml:space="preserve">nie więcej niż [●] ([●]) akcji zwykłych imiennych serii C. </w:t>
      </w:r>
    </w:p>
    <w:p w:rsidR="00E41B1B" w:rsidRDefault="003A08B6">
      <w:pPr>
        <w:pStyle w:val="Akapitzlist"/>
        <w:numPr>
          <w:ilvl w:val="2"/>
          <w:numId w:val="11"/>
        </w:numPr>
        <w:spacing w:after="240"/>
        <w:ind w:left="709" w:hanging="709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Wartość nominalna jednej akcji wynosi 0,80 gr (osiemdziesiąt groszy).</w:t>
      </w:r>
    </w:p>
    <w:p w:rsidR="00E41B1B" w:rsidRDefault="003A08B6">
      <w:pPr>
        <w:keepNext/>
        <w:spacing w:after="240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6</w:t>
      </w:r>
    </w:p>
    <w:p w:rsidR="00E41B1B" w:rsidRDefault="003A08B6">
      <w:pPr>
        <w:spacing w:after="24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Uchwała wchodzi w życie z dniem jej podjęcia, pod </w:t>
      </w:r>
      <w:r>
        <w:rPr>
          <w:rFonts w:eastAsia="Times New Roman"/>
          <w:color w:val="000000"/>
          <w:lang w:val="pl-PL"/>
        </w:rPr>
        <w:t>warunkiem podjęcia przez niniejsze Nadzwyczajne Walne Zgromadzenie Uchwały nr 4 w sprawie zmiany Statutu Spółki, oraz z zastrzeżeniem, że podwyższenie kapitału zakładowego oraz zmiana Statutu Spółki nastąpi z dniem dokonania zmiany wpisu w rejestrze przeds</w:t>
      </w:r>
      <w:r>
        <w:rPr>
          <w:rFonts w:eastAsia="Times New Roman"/>
          <w:color w:val="000000"/>
          <w:lang w:val="pl-PL"/>
        </w:rPr>
        <w:t>iębiorców Krajowego Rejestru Sądowego.</w:t>
      </w:r>
    </w:p>
    <w:p w:rsidR="00E41B1B" w:rsidRDefault="003A08B6">
      <w:pPr>
        <w:jc w:val="center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br w:type="page"/>
      </w:r>
    </w:p>
    <w:p w:rsidR="00E41B1B" w:rsidRDefault="003A08B6">
      <w:pPr>
        <w:jc w:val="both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lastRenderedPageBreak/>
        <w:t>Ad 5 porządku obrad:</w:t>
      </w:r>
    </w:p>
    <w:p w:rsidR="00E41B1B" w:rsidRDefault="00E41B1B">
      <w:pPr>
        <w:jc w:val="center"/>
        <w:rPr>
          <w:rFonts w:eastAsia="Times New Roman"/>
          <w:b/>
          <w:color w:val="000000"/>
          <w:lang w:val="pl-PL"/>
        </w:rPr>
      </w:pPr>
    </w:p>
    <w:p w:rsidR="00E41B1B" w:rsidRDefault="003A08B6">
      <w:pPr>
        <w:jc w:val="center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4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Nadzwyczajnego Walnego Zgromadzenia 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PRKil S.A. z siedzibą w Warszawie</w:t>
      </w:r>
    </w:p>
    <w:p w:rsidR="00E41B1B" w:rsidRDefault="003A08B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dnia </w:t>
      </w:r>
      <w:r>
        <w:rPr>
          <w:rFonts w:eastAsia="Calibri"/>
          <w:b/>
          <w:lang w:val="pl-PL"/>
        </w:rPr>
        <w:t>13 września 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E41B1B">
        <w:tc>
          <w:tcPr>
            <w:tcW w:w="1242" w:type="dxa"/>
          </w:tcPr>
          <w:p w:rsidR="00E41B1B" w:rsidRDefault="003A08B6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:rsidR="00E41B1B" w:rsidRDefault="003A08B6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zmiany Statutu Spółki.</w:t>
            </w:r>
          </w:p>
        </w:tc>
      </w:tr>
    </w:tbl>
    <w:p w:rsidR="00E41B1B" w:rsidRDefault="003A08B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:rsidR="00E41B1B" w:rsidRDefault="003A08B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Działając na podstawie art. 430 § </w:t>
      </w:r>
      <w:r>
        <w:rPr>
          <w:rFonts w:eastAsia="Times New Roman"/>
          <w:color w:val="000000"/>
          <w:lang w:val="pl-PL"/>
        </w:rPr>
        <w:t>1 ustawy z dnia 15 września 2000 r. Kodeks spółek handlowych, („</w:t>
      </w:r>
      <w:r>
        <w:rPr>
          <w:rFonts w:eastAsia="Times New Roman"/>
          <w:b/>
          <w:color w:val="000000"/>
          <w:lang w:val="pl-PL"/>
        </w:rPr>
        <w:t>Kodeks spółek handlowych</w:t>
      </w:r>
      <w:r>
        <w:rPr>
          <w:rFonts w:eastAsia="Times New Roman"/>
          <w:color w:val="000000"/>
          <w:lang w:val="pl-PL"/>
        </w:rPr>
        <w:t>”) oraz mając na uwadze treść Uchwały nr 3 niniejszego Nadzwyczajnego Walnego Zgromadzenia, Nadzwyczajne Walne Zgromadzenie niniejszym uchwala co następuje: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dodaje się </w:t>
      </w:r>
      <w:r>
        <w:rPr>
          <w:rFonts w:eastAsia="Times New Roman"/>
          <w:color w:val="000000"/>
          <w:lang w:val="pl-PL"/>
        </w:rPr>
        <w:t>nowy Artykuł 11B Statutu, w następującym brzmieniu:</w:t>
      </w:r>
    </w:p>
    <w:p w:rsidR="00E41B1B" w:rsidRDefault="003A08B6">
      <w:pPr>
        <w:pStyle w:val="Akapitzlist"/>
        <w:spacing w:after="24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Uchwały Walnego Zgromadzenia w sprawach określonych w art. 13.4 pkt 2), 13.7, 16.3, 16.7, 18.2 pkt 2) oraz 18.9 Statutu wymagają dla swej ważności zgody Inwestora Strategicznego</w:t>
      </w:r>
      <w:r>
        <w:rPr>
          <w:rFonts w:eastAsia="Times New Roman"/>
          <w:color w:val="000000"/>
          <w:lang w:val="pl-PL"/>
        </w:rPr>
        <w:t>.”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13.</w:t>
      </w:r>
      <w:r>
        <w:rPr>
          <w:rFonts w:eastAsia="Times New Roman"/>
          <w:color w:val="000000"/>
          <w:lang w:val="pl-PL"/>
        </w:rPr>
        <w:t>4 Statutu poprzez zastąpienie dotychczasowej treści, nowym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„4. </w:t>
      </w:r>
      <w:r>
        <w:rPr>
          <w:rFonts w:eastAsia="Times New Roman"/>
          <w:i/>
          <w:color w:val="000000"/>
          <w:lang w:val="pl-PL"/>
        </w:rPr>
        <w:t>Niniejszym: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1) COMSA jest uprawniona do powoływania i odwoływania czterech członków Rady Nadzorczej przez pisemne oświadczenie złożone Spółce;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 xml:space="preserve">2) Inwestor Strategiczny </w:t>
      </w:r>
      <w:r>
        <w:rPr>
          <w:rFonts w:eastAsia="Times New Roman"/>
          <w:i/>
          <w:color w:val="000000"/>
          <w:lang w:val="pl-PL"/>
        </w:rPr>
        <w:t>jest uprawniony do powoływania i odwoływania dwóch członków Rady Nadzorczej przez pisemne oświadczenia złożone Spółce.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W przypadku, gdy liczba członków Rady Nadzorczej jest wyższa lub niższa niż siedem na skutek zmian art. 13.1 lub odpowiednich przepisów p</w:t>
      </w:r>
      <w:r>
        <w:rPr>
          <w:rFonts w:eastAsia="Times New Roman"/>
          <w:i/>
          <w:color w:val="000000"/>
          <w:lang w:val="pl-PL"/>
        </w:rPr>
        <w:t>rawa, COMSA będzie uprawniona do powoływania i odwoływania członków Rady Nadzorczej w liczbie równej 50% wszystkich członków Rady Nadzorczej (zaokrąglonej w dół do liczby całkowitej) i dodatkowo jednego członka Rady Nadzorczej</w:t>
      </w:r>
      <w:r>
        <w:rPr>
          <w:rFonts w:eastAsia="Times New Roman"/>
          <w:color w:val="000000"/>
          <w:lang w:val="pl-PL"/>
        </w:rPr>
        <w:t xml:space="preserve">. </w:t>
      </w:r>
      <w:r>
        <w:rPr>
          <w:rFonts w:eastAsia="Times New Roman"/>
          <w:i/>
          <w:color w:val="000000"/>
          <w:lang w:val="pl-PL"/>
        </w:rPr>
        <w:t>Prawo COMSA, o którym mowa w</w:t>
      </w:r>
      <w:r>
        <w:rPr>
          <w:rFonts w:eastAsia="Times New Roman"/>
          <w:i/>
          <w:color w:val="000000"/>
          <w:lang w:val="pl-PL"/>
        </w:rPr>
        <w:t xml:space="preserve"> zdaniu poprzednim, wygasa z dniem 1 stycznia 2022 r., z zastrzeżeniem art. 29.4 Statutu.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zdanie pierwsze Artykułu 13.5 Statutu poprzez zastąpienie dotychczasowej treści,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 xml:space="preserve">Co najmniej dwóch członków Rady </w:t>
      </w:r>
      <w:r>
        <w:rPr>
          <w:rFonts w:eastAsia="Times New Roman"/>
          <w:i/>
          <w:color w:val="000000"/>
          <w:lang w:val="pl-PL"/>
        </w:rPr>
        <w:t>Nadzorczej powinno spełniać kryteria niezależności określone w art. 129 ust. 3 Ustawy z dnia 11 maja 2017 r. o biegłych rewidentach, firmach audytorskich oraz nadzorze publicznym, lub inne kryteria niezależności, które je zastąpią: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13.</w:t>
      </w:r>
      <w:r>
        <w:rPr>
          <w:rFonts w:eastAsia="Times New Roman"/>
          <w:color w:val="000000"/>
          <w:lang w:val="pl-PL"/>
        </w:rPr>
        <w:t>6 Statutu poprzez zastąpienie dotychczasowej treści,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Rada Nadzorcza, w skład której nie wchodzi, niezależnie od przyczyn takiego stanu, dwóch niezależnych członków Rady Nadzorczej posiada zdolność do podejmowania ważnych uchwał.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lastRenderedPageBreak/>
        <w:t>zmienia się Artykuł 13.7 Statutu poprzez zastąpienie dotychczasowej treści,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W przypadku gdy COMSA lub Inwestor Strategiczny nie powoła członka (członków) Rady Nadzorczej w ciągu dwudziestu jeden dni od daty wygaśnięcia mandatu cz</w:t>
      </w:r>
      <w:r>
        <w:rPr>
          <w:rFonts w:eastAsia="Times New Roman"/>
          <w:i/>
          <w:color w:val="000000"/>
          <w:lang w:val="pl-PL"/>
        </w:rPr>
        <w:t>łonka (członków) Rady Nadzorczej powołanego przez COMSA lub Inwestora Strategicznego odpowiednio, taki członek (członkowie) Rady Nadzorczej powinien być powołany i odwoływany przez Walne Zgromadzenie do czasu, kiedy COMSA lub Inwestor Strategiczny wykona s</w:t>
      </w:r>
      <w:r>
        <w:rPr>
          <w:rFonts w:eastAsia="Times New Roman"/>
          <w:i/>
          <w:color w:val="000000"/>
          <w:lang w:val="pl-PL"/>
        </w:rPr>
        <w:t>woje uprawnienie wynikające z art. 13.4 powyżej. W przypadku wykonania przez COMSA lub Inwestora Strategicznego uprawnienia wynikającego z art. 13.4 powyżej, mandat członka (członków) Rady Nadzorczej powołanego przez Walne Zgromadzenie zgodnie z treścią ni</w:t>
      </w:r>
      <w:r>
        <w:rPr>
          <w:rFonts w:eastAsia="Times New Roman"/>
          <w:i/>
          <w:color w:val="000000"/>
          <w:lang w:val="pl-PL"/>
        </w:rPr>
        <w:t>niejszego postanowienia automatycznie wygasa, bez wpływu na kadencję Rady Nadzorczej.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16.2 pkt 1) Statutu poprzez zastąpienie dotychczasowej treści, nowym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powoływanie i odwoływanie członków Zarządu z zastrzeże</w:t>
      </w:r>
      <w:r>
        <w:rPr>
          <w:rFonts w:eastAsia="Times New Roman"/>
          <w:i/>
          <w:color w:val="000000"/>
          <w:lang w:val="pl-PL"/>
        </w:rPr>
        <w:t>niem art. 18.2 pkt 2).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16.2 pkt 33) Statutu poprzez zastąpienie dotychczasowej treści, nowym następującym brzmieniem:</w:t>
      </w:r>
    </w:p>
    <w:p w:rsidR="00E41B1B" w:rsidRDefault="003A08B6">
      <w:pPr>
        <w:pStyle w:val="Akapitzlist"/>
        <w:spacing w:after="24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decydowanie, które spółki uznawane są za dodatkowe Kluczowe Spółki Zależne, zgodnie z definicją zawartą w art. 29.2.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16.3 Statutu poprzez zastąpienie dotychczasowej treści, nowym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Uchwały Rady Nadzorczej dotyczące spraw, o których mowa w art. 16.2 pkt 2) (jeśli zmiany obowiązujących warunków zatrudnienia są istotne), 7), 9),</w:t>
      </w:r>
      <w:r>
        <w:rPr>
          <w:rFonts w:eastAsia="Times New Roman"/>
          <w:i/>
          <w:color w:val="000000"/>
          <w:lang w:val="pl-PL"/>
        </w:rPr>
        <w:t xml:space="preserve"> 10), 11), 13), 14) (z wyjątkiem pożyczek zaciąganych w celu refinansowania zobowiązań z obligacji wyemitowanych przez Spółkę), 15), 16), 18), 20), 21), 22), 26), 27), 28), 29), 30), 31) oraz 32) powyżej wymagają dla swojej ważności zgody co najmniej sześc</w:t>
      </w:r>
      <w:r>
        <w:rPr>
          <w:rFonts w:eastAsia="Times New Roman"/>
          <w:i/>
          <w:color w:val="000000"/>
          <w:lang w:val="pl-PL"/>
        </w:rPr>
        <w:t>iu członków Rady Nadzorczej, w tym członka Rady Nadzorczej powołanego przez Inwestora Strategicznego.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16.7 Statutu poprzez zastąpienie dotychczasowej treści, nowym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Postanowienia art. 16.3 stosuje się odpowiedn</w:t>
      </w:r>
      <w:r>
        <w:rPr>
          <w:rFonts w:eastAsia="Times New Roman"/>
          <w:i/>
          <w:color w:val="000000"/>
          <w:lang w:val="pl-PL"/>
        </w:rPr>
        <w:t>io do uchwał Rady Nadzorczej dotyczących zatwierdzenia Kluczowych Działań (z wyjątkiem czynności wymienionych w art. 11.1 pkt 7) i połączenia spółek należących do grupy Spółki). Takie uchwały Rady Nadzorczej wymagają dla swojej ważności zgody co najmniej s</w:t>
      </w:r>
      <w:r>
        <w:rPr>
          <w:rFonts w:eastAsia="Times New Roman"/>
          <w:i/>
          <w:color w:val="000000"/>
          <w:lang w:val="pl-PL"/>
        </w:rPr>
        <w:t>ześciu członków Rady Nadzorczej w tym członka Rady Nadzorczej powołanego przez Inwestora Strategicznego.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18.2 Statutu poprzez zastąpienie dotychczasowej treści, nowym następującym brzmieniem: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Członkowie Zarządu są powoływani i odwoływ</w:t>
      </w:r>
      <w:r>
        <w:rPr>
          <w:rFonts w:eastAsia="Times New Roman"/>
          <w:i/>
          <w:color w:val="000000"/>
          <w:lang w:val="pl-PL"/>
        </w:rPr>
        <w:t>ani w następujący sposób, z zastrzeżeniem art. 18.6 oraz 18.7 poniżej: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1) do dziewięciu członków Zarządu powołuje i odwołuje Rada Nadzorcza;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2) jeden członek Zarządu odpowiedzialny za audyt wewnętrzny jest powoływany i odwoływany przez Inwestora Strategicz</w:t>
      </w:r>
      <w:r>
        <w:rPr>
          <w:rFonts w:eastAsia="Times New Roman"/>
          <w:i/>
          <w:color w:val="000000"/>
          <w:lang w:val="pl-PL"/>
        </w:rPr>
        <w:t>nego w drodze pisemnego oświadczenia złożonego Spółce, z zastrzeżeniem art. 18.9.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lastRenderedPageBreak/>
        <w:t>dodaje się nowy Artykuł 18.9 Statutu, w następującym brzmieniu:</w:t>
      </w:r>
    </w:p>
    <w:p w:rsidR="00E41B1B" w:rsidRDefault="003A08B6">
      <w:pPr>
        <w:pStyle w:val="Akapitzlist"/>
        <w:spacing w:after="24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Przed powołaniem członka Zarządu zgodnie z postanowieniami art. 18.2 pkt 2) Statutu, Inwestor Strategiczny p</w:t>
      </w:r>
      <w:r>
        <w:rPr>
          <w:rFonts w:eastAsia="Times New Roman"/>
          <w:i/>
          <w:color w:val="000000"/>
          <w:lang w:val="pl-PL"/>
        </w:rPr>
        <w:t>rzedstawia Prezesowi Zarządu na piśmie trzech kandydatów, wraz z ich danymi osobowymi i biogramami opisującymi doświadczenie zawodowe, który w terminie 7 (siedmiu) dni od dnia ich przedstawienia rekomenduje do powołania jednego spośród kandydatów wskazanyc</w:t>
      </w:r>
      <w:r>
        <w:rPr>
          <w:rFonts w:eastAsia="Times New Roman"/>
          <w:i/>
          <w:color w:val="000000"/>
          <w:lang w:val="pl-PL"/>
        </w:rPr>
        <w:t>h przez Inwestora Strategicznego. Kandydat, który otrzymał rekomendację Prezesa Zarządu, zostanie powołany przez Inwestora Strategicznego na członka Zarządu odpowiedzialnego za audyt wewnętrzny. W przypadku nie przekazania rekomendacji przez Prezesa Zarząd</w:t>
      </w:r>
      <w:r>
        <w:rPr>
          <w:rFonts w:eastAsia="Times New Roman"/>
          <w:i/>
          <w:color w:val="000000"/>
          <w:lang w:val="pl-PL"/>
        </w:rPr>
        <w:t>u Inwestorowi Strategicznemu w terminie wskazanym w zdaniu poprzednim, Inwestor Strategiczny będzie uprawniony do powołania na członka Zarządu odpowiedzialnego za audyt wewnętrzny jednego kandydata z trzech przedstawionych Prezesowi Zarządu.</w:t>
      </w:r>
    </w:p>
    <w:p w:rsidR="00E41B1B" w:rsidRDefault="00E41B1B">
      <w:pPr>
        <w:pStyle w:val="Akapitzlist"/>
        <w:spacing w:after="240"/>
        <w:jc w:val="both"/>
        <w:textAlignment w:val="baseline"/>
        <w:rPr>
          <w:rFonts w:eastAsia="Times New Roman"/>
          <w:i/>
          <w:color w:val="000000"/>
          <w:lang w:val="pl-PL"/>
        </w:rPr>
      </w:pP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</w:t>
      </w:r>
      <w:r>
        <w:rPr>
          <w:rFonts w:eastAsia="Times New Roman"/>
          <w:color w:val="000000"/>
          <w:lang w:val="pl-PL"/>
        </w:rPr>
        <w:t>rtykuł 29.1 Statutu poprzez zastąpienie dotychczasowej treści, nowym następującym brzmieniem:</w:t>
      </w:r>
    </w:p>
    <w:p w:rsidR="00E41B1B" w:rsidRDefault="003A08B6">
      <w:pPr>
        <w:pStyle w:val="Akapitzlist"/>
        <w:spacing w:after="24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Użyty w niniejszym statucie termin „</w:t>
      </w:r>
      <w:r>
        <w:rPr>
          <w:rFonts w:eastAsia="Times New Roman"/>
          <w:b/>
          <w:i/>
          <w:color w:val="000000"/>
          <w:lang w:val="pl-PL"/>
        </w:rPr>
        <w:t>COMSA</w:t>
      </w:r>
      <w:r>
        <w:rPr>
          <w:rFonts w:eastAsia="Times New Roman"/>
          <w:i/>
          <w:color w:val="000000"/>
          <w:lang w:val="pl-PL"/>
        </w:rPr>
        <w:t>” ma następujące znaczenie – COMSA S.A., spółka utworzona zgodnie z przepisami prawa hiszpańskiego, z siedzibą w Barcelo</w:t>
      </w:r>
      <w:r>
        <w:rPr>
          <w:rFonts w:eastAsia="Times New Roman"/>
          <w:i/>
          <w:color w:val="000000"/>
          <w:lang w:val="pl-PL"/>
        </w:rPr>
        <w:t>nie i wpisana do Rejestru Handlowego Barcelony pod numerem B-78158 i (lub) każdy z jej następców prawnych.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29.1 Statutu poprzez dodanie następującego zdania:</w:t>
      </w:r>
    </w:p>
    <w:p w:rsidR="00E41B1B" w:rsidRDefault="003A08B6">
      <w:pPr>
        <w:pStyle w:val="Akapitzlist"/>
        <w:spacing w:after="24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Dla celów niniejszego Statutu termin „</w:t>
      </w:r>
      <w:r>
        <w:rPr>
          <w:rFonts w:eastAsia="Times New Roman"/>
          <w:b/>
          <w:i/>
          <w:color w:val="000000"/>
          <w:lang w:val="pl-PL"/>
        </w:rPr>
        <w:t xml:space="preserve">Podmiot Powiązany lub Podmioty </w:t>
      </w:r>
      <w:r>
        <w:rPr>
          <w:rFonts w:eastAsia="Times New Roman"/>
          <w:b/>
          <w:i/>
          <w:color w:val="000000"/>
          <w:lang w:val="pl-PL"/>
        </w:rPr>
        <w:t>Powiązane</w:t>
      </w:r>
      <w:r>
        <w:rPr>
          <w:rFonts w:eastAsia="Times New Roman"/>
          <w:i/>
          <w:color w:val="000000"/>
          <w:lang w:val="pl-PL"/>
        </w:rPr>
        <w:t>” oznacza podmiot lub podmioty, o których mowa w art. 4 § 1 pkt 4) i 5) Kodeksu spółek handlowych.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zmienia się Artykuł 29.2 Statutu poprzez zastąpienie dotychczasowej treści, nowym następującym brzmieniem:</w:t>
      </w:r>
    </w:p>
    <w:p w:rsidR="00E41B1B" w:rsidRDefault="003A08B6">
      <w:pPr>
        <w:pStyle w:val="Akapitzlist"/>
        <w:spacing w:after="24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Użyty w niniejszym Statucie termin „</w:t>
      </w:r>
      <w:r>
        <w:rPr>
          <w:rFonts w:eastAsia="Times New Roman"/>
          <w:b/>
          <w:i/>
          <w:color w:val="000000"/>
          <w:lang w:val="pl-PL"/>
        </w:rPr>
        <w:t>Klu</w:t>
      </w:r>
      <w:r>
        <w:rPr>
          <w:rFonts w:eastAsia="Times New Roman"/>
          <w:b/>
          <w:i/>
          <w:color w:val="000000"/>
          <w:lang w:val="pl-PL"/>
        </w:rPr>
        <w:t>czowa Spółka Zależna</w:t>
      </w:r>
      <w:r>
        <w:rPr>
          <w:rFonts w:eastAsia="Times New Roman"/>
          <w:i/>
          <w:color w:val="000000"/>
          <w:lang w:val="pl-PL"/>
        </w:rPr>
        <w:t>” ma następujące znaczenie – spółka bezpośrednio lub pośrednio zależna lub powiązana ze Spółką, której wartość księgowa wszystkich aktywów wynosi co najmniej 5.000.000 złotych lub równowartość tej kwoty w walutach obcych oraz inne Spółk</w:t>
      </w:r>
      <w:r>
        <w:rPr>
          <w:rFonts w:eastAsia="Times New Roman"/>
          <w:i/>
          <w:color w:val="000000"/>
          <w:lang w:val="pl-PL"/>
        </w:rPr>
        <w:t>i wybrane przez Radę Nadzorczą zgodnie z art. 16.2 pkt 33.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dodaje się Artykuł 29.3 Statutu w następującym brzmieniu:</w:t>
      </w:r>
    </w:p>
    <w:p w:rsidR="00E41B1B" w:rsidRDefault="003A08B6">
      <w:pPr>
        <w:pStyle w:val="Akapitzlist"/>
        <w:spacing w:after="24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Użyty w niniejszym Statucie termin „</w:t>
      </w:r>
      <w:r>
        <w:rPr>
          <w:rFonts w:eastAsia="Times New Roman"/>
          <w:b/>
          <w:i/>
          <w:color w:val="000000"/>
          <w:lang w:val="pl-PL"/>
        </w:rPr>
        <w:t>Inwestor Strategiczny</w:t>
      </w:r>
      <w:r>
        <w:rPr>
          <w:rFonts w:eastAsia="Times New Roman"/>
          <w:i/>
          <w:color w:val="000000"/>
          <w:lang w:val="pl-PL"/>
        </w:rPr>
        <w:t>” ma następujące znaczenie – [●].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dodaje się Artykuł 29.4 Statutu w </w:t>
      </w:r>
      <w:r>
        <w:rPr>
          <w:rFonts w:eastAsia="Times New Roman"/>
          <w:color w:val="000000"/>
          <w:lang w:val="pl-PL"/>
        </w:rPr>
        <w:t>następującym brzmieniu: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Postanowienia art. 11, 13.4 pkt 1), 13.7, 13.9, 15.2, 16.3, 16.5, 16.6, 16.7, 16a, 18.6 oraz 18.7 pozostają w mocy do: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a) czasu, w którym (i) COMSA pozostaje akcjonariuszem Spółki i dysponuje bezpośrednio co najmniej 25% ogólnej li</w:t>
      </w:r>
      <w:r>
        <w:rPr>
          <w:rFonts w:eastAsia="Times New Roman"/>
          <w:i/>
          <w:color w:val="000000"/>
          <w:lang w:val="pl-PL"/>
        </w:rPr>
        <w:t>czby głosów na Walnym Zgromadzeniu Spółki; oraz (ii) COMSA EMTECORPORACIÓN DE INFRAESTRUCTURAS, S.L., spółka utworzona zgodnie z przepisami prawa hiszpańskiego i wpisana do Rejestru Handlowego Barcelony pod numerem B-58982, będzie kontrolować COMSA lub jej</w:t>
      </w:r>
      <w:r>
        <w:rPr>
          <w:rFonts w:eastAsia="Times New Roman"/>
          <w:i/>
          <w:color w:val="000000"/>
          <w:lang w:val="pl-PL"/>
        </w:rPr>
        <w:t xml:space="preserve"> następców prawnych (to jest: posiadać co najmniej 51% całego kapitału zakładowego COMSA lub co najmniej 51% ogólnej liczby głosów na walnym zgromadzeniu COMSA);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lastRenderedPageBreak/>
        <w:t>lub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b) dnia 1 stycznia 2022 r.;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lub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 xml:space="preserve">c) czasu podjęcia przez Walne Zgromadzenie Spółki uchwały </w:t>
      </w:r>
      <w:r>
        <w:rPr>
          <w:rFonts w:eastAsia="Times New Roman"/>
          <w:i/>
          <w:color w:val="000000"/>
          <w:lang w:val="pl-PL"/>
        </w:rPr>
        <w:t>uchylającej, zmieniającej lub naruszającej art. 11B, 13.4 pkt 2), 13.7, 16.3, 16.7, 18.2 pkt 2) oraz 18.9 Statutu, o ile COMSA głosowała za taką uchwałą, a Inwestor Strategiczny głosował przeciwko takiej uchwale,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w zależności od tego, która z powyższych ok</w:t>
      </w:r>
      <w:r>
        <w:rPr>
          <w:rFonts w:eastAsia="Times New Roman"/>
          <w:i/>
          <w:color w:val="000000"/>
          <w:lang w:val="pl-PL"/>
        </w:rPr>
        <w:t>oliczności wystąpi wcześniej.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W przypadku gdy jeden z warunków wymienionych w pkt a) powyżej przestanie być spełniany lub z upływem terminu wskazanego w pkt b) powyżej, lub jeżeli spełniony jest warunek określony w pkt c) powyżej, uprawnienia przyznane prz</w:t>
      </w:r>
      <w:r>
        <w:rPr>
          <w:rFonts w:eastAsia="Times New Roman"/>
          <w:i/>
          <w:color w:val="000000"/>
          <w:lang w:val="pl-PL"/>
        </w:rPr>
        <w:t>ez postanowienia art. 11, 13.4 pkt 1), 13.7, 13.9, 15.2, 16.3, 16.5, 16.6, 16.7, 16a, 18.6 oraz 18.7 wygasają na stałe.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dodaje się Artykuł 29.5 Statutu w następującym brzmieniu: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„</w:t>
      </w:r>
      <w:r>
        <w:rPr>
          <w:rFonts w:eastAsia="Times New Roman"/>
          <w:i/>
          <w:color w:val="000000"/>
          <w:lang w:val="pl-PL"/>
        </w:rPr>
        <w:t>Uprawnienia osobiste zastrzeżone na rzecz Inwestora Strategicznego w przepis</w:t>
      </w:r>
      <w:r>
        <w:rPr>
          <w:rFonts w:eastAsia="Times New Roman"/>
          <w:i/>
          <w:color w:val="000000"/>
          <w:lang w:val="pl-PL"/>
        </w:rPr>
        <w:t>ach art. 11B, 13.4 pkt 2), 13.7, 16.3, 16.7, 18.2 pkt 2), oraz 18.9 przysługują Inwestorowi Strategicznemu tak długo jak: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 xml:space="preserve">a) Inwestor Strategiczny pozostaje akcjonariuszem Spółki i posiada bezpośrednio lub pośrednio co najmniej 5% ogólnej liczby głosów na </w:t>
      </w:r>
      <w:r>
        <w:rPr>
          <w:rFonts w:eastAsia="Times New Roman"/>
          <w:i/>
          <w:color w:val="000000"/>
          <w:lang w:val="pl-PL"/>
        </w:rPr>
        <w:t>Walnym Zgromadzeniu Spółki; oraz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b) uprawnienia wskazane w art. 29.4 powyżej, przysługują COMSA, z zastrzeżeniem ich wygaśnięcia zgodnie z art. 29.4 pkt c) Statutu.</w:t>
      </w:r>
    </w:p>
    <w:p w:rsidR="00E41B1B" w:rsidRDefault="003A08B6">
      <w:pPr>
        <w:pStyle w:val="Akapitzlist"/>
        <w:spacing w:after="240"/>
        <w:ind w:right="-48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i/>
          <w:color w:val="000000"/>
          <w:lang w:val="pl-PL"/>
        </w:rPr>
        <w:t>W przypadku gdy jeden z warunków wymienionych w pkt a) lub b) powyżej przestanie być spełni</w:t>
      </w:r>
      <w:r>
        <w:rPr>
          <w:rFonts w:eastAsia="Times New Roman"/>
          <w:i/>
          <w:color w:val="000000"/>
          <w:lang w:val="pl-PL"/>
        </w:rPr>
        <w:t>any, uprawnienia osobiste zastrzeżone dla Inwestora Strategicznego (ale nie całe postanowienia) w art. 13.4 pkt 2), 13.7, 16.3, 16.7, 18.2 pkt 2) i 18.9 wygasają na stałe.</w:t>
      </w:r>
      <w:r>
        <w:rPr>
          <w:rFonts w:eastAsia="Times New Roman"/>
          <w:color w:val="000000"/>
          <w:lang w:val="pl-PL"/>
        </w:rPr>
        <w:t>”</w:t>
      </w:r>
    </w:p>
    <w:p w:rsidR="00E41B1B" w:rsidRDefault="003A08B6">
      <w:pPr>
        <w:pStyle w:val="Akapitzlist"/>
        <w:numPr>
          <w:ilvl w:val="0"/>
          <w:numId w:val="21"/>
        </w:numPr>
        <w:spacing w:after="240"/>
        <w:ind w:left="720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Nadzwyczajne Walne Zgromadzenie niniejszym upoważnia Radę Nadzorczą Spółki do ustal</w:t>
      </w:r>
      <w:r>
        <w:rPr>
          <w:rFonts w:eastAsia="Times New Roman"/>
          <w:color w:val="000000"/>
          <w:lang w:val="pl-PL"/>
        </w:rPr>
        <w:t>enia tekstu jednolitego Statutu Spółki z uwzględnieniem zmian wynikających z postanowień niniejszej Uchwały oraz Uchwały nr 3 niniejszego Nadzwyczajnego Walnego Zgromadzenia Spółki.</w:t>
      </w:r>
    </w:p>
    <w:p w:rsidR="00E41B1B" w:rsidRDefault="003A08B6">
      <w:pPr>
        <w:spacing w:after="240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:rsidR="00E41B1B" w:rsidRDefault="003A08B6">
      <w:pPr>
        <w:spacing w:after="24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Uchwała wchodzi w życie z dniem podjęcia, z </w:t>
      </w:r>
      <w:r>
        <w:rPr>
          <w:rFonts w:eastAsia="Times New Roman"/>
          <w:color w:val="000000"/>
          <w:lang w:val="pl-PL"/>
        </w:rPr>
        <w:t>zastrzeżeniem, że zmiana Statutu Spółki wchodzi w życie z chwilą zarejestrowania podwyższenia kapitału zakładowego Spółki, o którym mowa w Uchwale nr 3 niniejszego Nadzwyczajnego Walnego Zgromadzenia Spółki oraz z dniem dokonania wpisu do rejestru przedsię</w:t>
      </w:r>
      <w:r>
        <w:rPr>
          <w:rFonts w:eastAsia="Times New Roman"/>
          <w:color w:val="000000"/>
          <w:lang w:val="pl-PL"/>
        </w:rPr>
        <w:t>biorców Krajowego Rejestru Sądowego.</w:t>
      </w:r>
    </w:p>
    <w:sectPr w:rsidR="00E41B1B">
      <w:headerReference w:type="default" r:id="rId8"/>
      <w:pgSz w:w="11904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B1B" w:rsidRDefault="003A08B6">
      <w:r>
        <w:separator/>
      </w:r>
    </w:p>
  </w:endnote>
  <w:endnote w:type="continuationSeparator" w:id="0">
    <w:p w:rsidR="00E41B1B" w:rsidRDefault="003A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B1B" w:rsidRDefault="003A08B6">
      <w:r>
        <w:separator/>
      </w:r>
    </w:p>
  </w:footnote>
  <w:footnote w:type="continuationSeparator" w:id="0">
    <w:p w:rsidR="00E41B1B" w:rsidRDefault="003A0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B1B" w:rsidRDefault="00E41B1B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EE0"/>
    <w:multiLevelType w:val="hybridMultilevel"/>
    <w:tmpl w:val="EC06507E"/>
    <w:lvl w:ilvl="0" w:tplc="62E430A2">
      <w:start w:val="1"/>
      <w:numFmt w:val="decimal"/>
      <w:lvlText w:val="%1."/>
      <w:lvlJc w:val="left"/>
      <w:pPr>
        <w:ind w:left="2700" w:hanging="360"/>
      </w:pPr>
    </w:lvl>
    <w:lvl w:ilvl="1" w:tplc="47783326" w:tentative="1">
      <w:start w:val="1"/>
      <w:numFmt w:val="lowerLetter"/>
      <w:lvlText w:val="%2."/>
      <w:lvlJc w:val="left"/>
      <w:pPr>
        <w:ind w:left="3420" w:hanging="360"/>
      </w:pPr>
    </w:lvl>
    <w:lvl w:ilvl="2" w:tplc="A8E87520" w:tentative="1">
      <w:start w:val="1"/>
      <w:numFmt w:val="lowerRoman"/>
      <w:lvlText w:val="%3."/>
      <w:lvlJc w:val="right"/>
      <w:pPr>
        <w:ind w:left="4140" w:hanging="180"/>
      </w:pPr>
    </w:lvl>
    <w:lvl w:ilvl="3" w:tplc="BBAE72E0" w:tentative="1">
      <w:start w:val="1"/>
      <w:numFmt w:val="decimal"/>
      <w:lvlText w:val="%4."/>
      <w:lvlJc w:val="left"/>
      <w:pPr>
        <w:ind w:left="4860" w:hanging="360"/>
      </w:pPr>
    </w:lvl>
    <w:lvl w:ilvl="4" w:tplc="813AF4B8" w:tentative="1">
      <w:start w:val="1"/>
      <w:numFmt w:val="lowerLetter"/>
      <w:lvlText w:val="%5."/>
      <w:lvlJc w:val="left"/>
      <w:pPr>
        <w:ind w:left="5580" w:hanging="360"/>
      </w:pPr>
    </w:lvl>
    <w:lvl w:ilvl="5" w:tplc="E4A893F4" w:tentative="1">
      <w:start w:val="1"/>
      <w:numFmt w:val="lowerRoman"/>
      <w:lvlText w:val="%6."/>
      <w:lvlJc w:val="right"/>
      <w:pPr>
        <w:ind w:left="6300" w:hanging="180"/>
      </w:pPr>
    </w:lvl>
    <w:lvl w:ilvl="6" w:tplc="6EDC6512" w:tentative="1">
      <w:start w:val="1"/>
      <w:numFmt w:val="decimal"/>
      <w:lvlText w:val="%7."/>
      <w:lvlJc w:val="left"/>
      <w:pPr>
        <w:ind w:left="7020" w:hanging="360"/>
      </w:pPr>
    </w:lvl>
    <w:lvl w:ilvl="7" w:tplc="D188D864" w:tentative="1">
      <w:start w:val="1"/>
      <w:numFmt w:val="lowerLetter"/>
      <w:lvlText w:val="%8."/>
      <w:lvlJc w:val="left"/>
      <w:pPr>
        <w:ind w:left="7740" w:hanging="360"/>
      </w:pPr>
    </w:lvl>
    <w:lvl w:ilvl="8" w:tplc="1A14B7D2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A854845"/>
    <w:multiLevelType w:val="hybridMultilevel"/>
    <w:tmpl w:val="ABA08BA8"/>
    <w:lvl w:ilvl="0" w:tplc="ED8A52E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B7C23A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BDE0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A8E35B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3CEBF4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49E04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B96BD0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1546E9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B3882D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392B5E"/>
    <w:multiLevelType w:val="hybridMultilevel"/>
    <w:tmpl w:val="EC06507E"/>
    <w:lvl w:ilvl="0" w:tplc="E13EB56A">
      <w:start w:val="1"/>
      <w:numFmt w:val="decimal"/>
      <w:lvlText w:val="%1."/>
      <w:lvlJc w:val="left"/>
      <w:pPr>
        <w:ind w:left="2700" w:hanging="360"/>
      </w:pPr>
    </w:lvl>
    <w:lvl w:ilvl="1" w:tplc="507AEE8A" w:tentative="1">
      <w:start w:val="1"/>
      <w:numFmt w:val="lowerLetter"/>
      <w:lvlText w:val="%2."/>
      <w:lvlJc w:val="left"/>
      <w:pPr>
        <w:ind w:left="3420" w:hanging="360"/>
      </w:pPr>
    </w:lvl>
    <w:lvl w:ilvl="2" w:tplc="A1B8A2B8" w:tentative="1">
      <w:start w:val="1"/>
      <w:numFmt w:val="lowerRoman"/>
      <w:lvlText w:val="%3."/>
      <w:lvlJc w:val="right"/>
      <w:pPr>
        <w:ind w:left="4140" w:hanging="180"/>
      </w:pPr>
    </w:lvl>
    <w:lvl w:ilvl="3" w:tplc="E9701D34" w:tentative="1">
      <w:start w:val="1"/>
      <w:numFmt w:val="decimal"/>
      <w:lvlText w:val="%4."/>
      <w:lvlJc w:val="left"/>
      <w:pPr>
        <w:ind w:left="4860" w:hanging="360"/>
      </w:pPr>
    </w:lvl>
    <w:lvl w:ilvl="4" w:tplc="B814777A" w:tentative="1">
      <w:start w:val="1"/>
      <w:numFmt w:val="lowerLetter"/>
      <w:lvlText w:val="%5."/>
      <w:lvlJc w:val="left"/>
      <w:pPr>
        <w:ind w:left="5580" w:hanging="360"/>
      </w:pPr>
    </w:lvl>
    <w:lvl w:ilvl="5" w:tplc="E5DE3380" w:tentative="1">
      <w:start w:val="1"/>
      <w:numFmt w:val="lowerRoman"/>
      <w:lvlText w:val="%6."/>
      <w:lvlJc w:val="right"/>
      <w:pPr>
        <w:ind w:left="6300" w:hanging="180"/>
      </w:pPr>
    </w:lvl>
    <w:lvl w:ilvl="6" w:tplc="41A60C34" w:tentative="1">
      <w:start w:val="1"/>
      <w:numFmt w:val="decimal"/>
      <w:lvlText w:val="%7."/>
      <w:lvlJc w:val="left"/>
      <w:pPr>
        <w:ind w:left="7020" w:hanging="360"/>
      </w:pPr>
    </w:lvl>
    <w:lvl w:ilvl="7" w:tplc="A9EC5FFA" w:tentative="1">
      <w:start w:val="1"/>
      <w:numFmt w:val="lowerLetter"/>
      <w:lvlText w:val="%8."/>
      <w:lvlJc w:val="left"/>
      <w:pPr>
        <w:ind w:left="7740" w:hanging="360"/>
      </w:pPr>
    </w:lvl>
    <w:lvl w:ilvl="8" w:tplc="631218F4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31706496"/>
    <w:multiLevelType w:val="hybridMultilevel"/>
    <w:tmpl w:val="8D9616F6"/>
    <w:lvl w:ilvl="0" w:tplc="5DFE68FC">
      <w:start w:val="1"/>
      <w:numFmt w:val="decimal"/>
      <w:lvlText w:val="%1)"/>
      <w:lvlJc w:val="left"/>
      <w:pPr>
        <w:ind w:left="1080" w:hanging="360"/>
      </w:pPr>
    </w:lvl>
    <w:lvl w:ilvl="1" w:tplc="0F84AFF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7C762816" w:tentative="1">
      <w:start w:val="1"/>
      <w:numFmt w:val="lowerRoman"/>
      <w:lvlText w:val="%3."/>
      <w:lvlJc w:val="right"/>
      <w:pPr>
        <w:ind w:left="2520" w:hanging="180"/>
      </w:pPr>
    </w:lvl>
    <w:lvl w:ilvl="3" w:tplc="5AA00AD4" w:tentative="1">
      <w:start w:val="1"/>
      <w:numFmt w:val="decimal"/>
      <w:lvlText w:val="%4."/>
      <w:lvlJc w:val="left"/>
      <w:pPr>
        <w:ind w:left="3240" w:hanging="360"/>
      </w:pPr>
    </w:lvl>
    <w:lvl w:ilvl="4" w:tplc="E15E78DA" w:tentative="1">
      <w:start w:val="1"/>
      <w:numFmt w:val="lowerLetter"/>
      <w:lvlText w:val="%5."/>
      <w:lvlJc w:val="left"/>
      <w:pPr>
        <w:ind w:left="3960" w:hanging="360"/>
      </w:pPr>
    </w:lvl>
    <w:lvl w:ilvl="5" w:tplc="DD92DDEA" w:tentative="1">
      <w:start w:val="1"/>
      <w:numFmt w:val="lowerRoman"/>
      <w:lvlText w:val="%6."/>
      <w:lvlJc w:val="right"/>
      <w:pPr>
        <w:ind w:left="4680" w:hanging="180"/>
      </w:pPr>
    </w:lvl>
    <w:lvl w:ilvl="6" w:tplc="0D6E9AAC" w:tentative="1">
      <w:start w:val="1"/>
      <w:numFmt w:val="decimal"/>
      <w:lvlText w:val="%7."/>
      <w:lvlJc w:val="left"/>
      <w:pPr>
        <w:ind w:left="5400" w:hanging="360"/>
      </w:pPr>
    </w:lvl>
    <w:lvl w:ilvl="7" w:tplc="563E105E" w:tentative="1">
      <w:start w:val="1"/>
      <w:numFmt w:val="lowerLetter"/>
      <w:lvlText w:val="%8."/>
      <w:lvlJc w:val="left"/>
      <w:pPr>
        <w:ind w:left="6120" w:hanging="360"/>
      </w:pPr>
    </w:lvl>
    <w:lvl w:ilvl="8" w:tplc="60C4AD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96204"/>
    <w:multiLevelType w:val="hybridMultilevel"/>
    <w:tmpl w:val="ED741D12"/>
    <w:lvl w:ilvl="0" w:tplc="6D9C9A5C">
      <w:start w:val="1"/>
      <w:numFmt w:val="lowerLetter"/>
      <w:lvlText w:val="%1)"/>
      <w:lvlJc w:val="left"/>
      <w:pPr>
        <w:ind w:left="1800" w:hanging="360"/>
      </w:pPr>
    </w:lvl>
    <w:lvl w:ilvl="1" w:tplc="42D0AAAE" w:tentative="1">
      <w:start w:val="1"/>
      <w:numFmt w:val="lowerLetter"/>
      <w:lvlText w:val="%2."/>
      <w:lvlJc w:val="left"/>
      <w:pPr>
        <w:ind w:left="2520" w:hanging="360"/>
      </w:pPr>
    </w:lvl>
    <w:lvl w:ilvl="2" w:tplc="7CC641F2" w:tentative="1">
      <w:start w:val="1"/>
      <w:numFmt w:val="lowerRoman"/>
      <w:lvlText w:val="%3."/>
      <w:lvlJc w:val="right"/>
      <w:pPr>
        <w:ind w:left="3240" w:hanging="180"/>
      </w:pPr>
    </w:lvl>
    <w:lvl w:ilvl="3" w:tplc="3B160EB0" w:tentative="1">
      <w:start w:val="1"/>
      <w:numFmt w:val="decimal"/>
      <w:lvlText w:val="%4."/>
      <w:lvlJc w:val="left"/>
      <w:pPr>
        <w:ind w:left="3960" w:hanging="360"/>
      </w:pPr>
    </w:lvl>
    <w:lvl w:ilvl="4" w:tplc="B7ACED04" w:tentative="1">
      <w:start w:val="1"/>
      <w:numFmt w:val="lowerLetter"/>
      <w:lvlText w:val="%5."/>
      <w:lvlJc w:val="left"/>
      <w:pPr>
        <w:ind w:left="4680" w:hanging="360"/>
      </w:pPr>
    </w:lvl>
    <w:lvl w:ilvl="5" w:tplc="75A497A8" w:tentative="1">
      <w:start w:val="1"/>
      <w:numFmt w:val="lowerRoman"/>
      <w:lvlText w:val="%6."/>
      <w:lvlJc w:val="right"/>
      <w:pPr>
        <w:ind w:left="5400" w:hanging="180"/>
      </w:pPr>
    </w:lvl>
    <w:lvl w:ilvl="6" w:tplc="783CF7EC" w:tentative="1">
      <w:start w:val="1"/>
      <w:numFmt w:val="decimal"/>
      <w:lvlText w:val="%7."/>
      <w:lvlJc w:val="left"/>
      <w:pPr>
        <w:ind w:left="6120" w:hanging="360"/>
      </w:pPr>
    </w:lvl>
    <w:lvl w:ilvl="7" w:tplc="C3761C4C" w:tentative="1">
      <w:start w:val="1"/>
      <w:numFmt w:val="lowerLetter"/>
      <w:lvlText w:val="%8."/>
      <w:lvlJc w:val="left"/>
      <w:pPr>
        <w:ind w:left="6840" w:hanging="360"/>
      </w:pPr>
    </w:lvl>
    <w:lvl w:ilvl="8" w:tplc="F88CDE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621E7D"/>
    <w:multiLevelType w:val="multilevel"/>
    <w:tmpl w:val="AF6E888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4C003F"/>
    <w:multiLevelType w:val="hybridMultilevel"/>
    <w:tmpl w:val="4C3CED5A"/>
    <w:lvl w:ilvl="0" w:tplc="4370B50A">
      <w:start w:val="1"/>
      <w:numFmt w:val="decimal"/>
      <w:lvlText w:val="%1."/>
      <w:lvlJc w:val="left"/>
      <w:pPr>
        <w:ind w:left="1080" w:hanging="360"/>
      </w:pPr>
    </w:lvl>
    <w:lvl w:ilvl="1" w:tplc="E4B4545C" w:tentative="1">
      <w:start w:val="1"/>
      <w:numFmt w:val="lowerLetter"/>
      <w:lvlText w:val="%2."/>
      <w:lvlJc w:val="left"/>
      <w:pPr>
        <w:ind w:left="1800" w:hanging="360"/>
      </w:pPr>
    </w:lvl>
    <w:lvl w:ilvl="2" w:tplc="AE6011D8">
      <w:start w:val="1"/>
      <w:numFmt w:val="lowerRoman"/>
      <w:lvlText w:val="%3."/>
      <w:lvlJc w:val="right"/>
      <w:pPr>
        <w:ind w:left="2520" w:hanging="180"/>
      </w:pPr>
    </w:lvl>
    <w:lvl w:ilvl="3" w:tplc="E9CA7034" w:tentative="1">
      <w:start w:val="1"/>
      <w:numFmt w:val="decimal"/>
      <w:lvlText w:val="%4."/>
      <w:lvlJc w:val="left"/>
      <w:pPr>
        <w:ind w:left="3240" w:hanging="360"/>
      </w:pPr>
    </w:lvl>
    <w:lvl w:ilvl="4" w:tplc="E2847D20" w:tentative="1">
      <w:start w:val="1"/>
      <w:numFmt w:val="lowerLetter"/>
      <w:lvlText w:val="%5."/>
      <w:lvlJc w:val="left"/>
      <w:pPr>
        <w:ind w:left="3960" w:hanging="360"/>
      </w:pPr>
    </w:lvl>
    <w:lvl w:ilvl="5" w:tplc="CAFEEB38" w:tentative="1">
      <w:start w:val="1"/>
      <w:numFmt w:val="lowerRoman"/>
      <w:lvlText w:val="%6."/>
      <w:lvlJc w:val="right"/>
      <w:pPr>
        <w:ind w:left="4680" w:hanging="180"/>
      </w:pPr>
    </w:lvl>
    <w:lvl w:ilvl="6" w:tplc="8ACE784C" w:tentative="1">
      <w:start w:val="1"/>
      <w:numFmt w:val="decimal"/>
      <w:lvlText w:val="%7."/>
      <w:lvlJc w:val="left"/>
      <w:pPr>
        <w:ind w:left="5400" w:hanging="360"/>
      </w:pPr>
    </w:lvl>
    <w:lvl w:ilvl="7" w:tplc="59E88B5A" w:tentative="1">
      <w:start w:val="1"/>
      <w:numFmt w:val="lowerLetter"/>
      <w:lvlText w:val="%8."/>
      <w:lvlJc w:val="left"/>
      <w:pPr>
        <w:ind w:left="6120" w:hanging="360"/>
      </w:pPr>
    </w:lvl>
    <w:lvl w:ilvl="8" w:tplc="9CA60C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944989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3D307E"/>
    <w:multiLevelType w:val="hybridMultilevel"/>
    <w:tmpl w:val="EC06507E"/>
    <w:lvl w:ilvl="0" w:tplc="E8FEF250">
      <w:start w:val="1"/>
      <w:numFmt w:val="decimal"/>
      <w:lvlText w:val="%1."/>
      <w:lvlJc w:val="left"/>
      <w:pPr>
        <w:ind w:left="2700" w:hanging="360"/>
      </w:pPr>
    </w:lvl>
    <w:lvl w:ilvl="1" w:tplc="860E3C34" w:tentative="1">
      <w:start w:val="1"/>
      <w:numFmt w:val="lowerLetter"/>
      <w:lvlText w:val="%2."/>
      <w:lvlJc w:val="left"/>
      <w:pPr>
        <w:ind w:left="3420" w:hanging="360"/>
      </w:pPr>
    </w:lvl>
    <w:lvl w:ilvl="2" w:tplc="185CE0E2" w:tentative="1">
      <w:start w:val="1"/>
      <w:numFmt w:val="lowerRoman"/>
      <w:lvlText w:val="%3."/>
      <w:lvlJc w:val="right"/>
      <w:pPr>
        <w:ind w:left="4140" w:hanging="180"/>
      </w:pPr>
    </w:lvl>
    <w:lvl w:ilvl="3" w:tplc="CAEEB510" w:tentative="1">
      <w:start w:val="1"/>
      <w:numFmt w:val="decimal"/>
      <w:lvlText w:val="%4."/>
      <w:lvlJc w:val="left"/>
      <w:pPr>
        <w:ind w:left="4860" w:hanging="360"/>
      </w:pPr>
    </w:lvl>
    <w:lvl w:ilvl="4" w:tplc="DA92C3C8" w:tentative="1">
      <w:start w:val="1"/>
      <w:numFmt w:val="lowerLetter"/>
      <w:lvlText w:val="%5."/>
      <w:lvlJc w:val="left"/>
      <w:pPr>
        <w:ind w:left="5580" w:hanging="360"/>
      </w:pPr>
    </w:lvl>
    <w:lvl w:ilvl="5" w:tplc="7E38AB88" w:tentative="1">
      <w:start w:val="1"/>
      <w:numFmt w:val="lowerRoman"/>
      <w:lvlText w:val="%6."/>
      <w:lvlJc w:val="right"/>
      <w:pPr>
        <w:ind w:left="6300" w:hanging="180"/>
      </w:pPr>
    </w:lvl>
    <w:lvl w:ilvl="6" w:tplc="0736E2CA" w:tentative="1">
      <w:start w:val="1"/>
      <w:numFmt w:val="decimal"/>
      <w:lvlText w:val="%7."/>
      <w:lvlJc w:val="left"/>
      <w:pPr>
        <w:ind w:left="7020" w:hanging="360"/>
      </w:pPr>
    </w:lvl>
    <w:lvl w:ilvl="7" w:tplc="23C45DE2" w:tentative="1">
      <w:start w:val="1"/>
      <w:numFmt w:val="lowerLetter"/>
      <w:lvlText w:val="%8."/>
      <w:lvlJc w:val="left"/>
      <w:pPr>
        <w:ind w:left="7740" w:hanging="360"/>
      </w:pPr>
    </w:lvl>
    <w:lvl w:ilvl="8" w:tplc="34BC656A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C051C14"/>
    <w:multiLevelType w:val="hybridMultilevel"/>
    <w:tmpl w:val="ED741D12"/>
    <w:lvl w:ilvl="0" w:tplc="CFB880F4">
      <w:start w:val="1"/>
      <w:numFmt w:val="lowerLetter"/>
      <w:lvlText w:val="%1)"/>
      <w:lvlJc w:val="left"/>
      <w:pPr>
        <w:ind w:left="1800" w:hanging="360"/>
      </w:pPr>
    </w:lvl>
    <w:lvl w:ilvl="1" w:tplc="ADEA9A98" w:tentative="1">
      <w:start w:val="1"/>
      <w:numFmt w:val="lowerLetter"/>
      <w:lvlText w:val="%2."/>
      <w:lvlJc w:val="left"/>
      <w:pPr>
        <w:ind w:left="2520" w:hanging="360"/>
      </w:pPr>
    </w:lvl>
    <w:lvl w:ilvl="2" w:tplc="318C51D8" w:tentative="1">
      <w:start w:val="1"/>
      <w:numFmt w:val="lowerRoman"/>
      <w:lvlText w:val="%3."/>
      <w:lvlJc w:val="right"/>
      <w:pPr>
        <w:ind w:left="3240" w:hanging="180"/>
      </w:pPr>
    </w:lvl>
    <w:lvl w:ilvl="3" w:tplc="38509DEE" w:tentative="1">
      <w:start w:val="1"/>
      <w:numFmt w:val="decimal"/>
      <w:lvlText w:val="%4."/>
      <w:lvlJc w:val="left"/>
      <w:pPr>
        <w:ind w:left="3960" w:hanging="360"/>
      </w:pPr>
    </w:lvl>
    <w:lvl w:ilvl="4" w:tplc="41220C38" w:tentative="1">
      <w:start w:val="1"/>
      <w:numFmt w:val="lowerLetter"/>
      <w:lvlText w:val="%5."/>
      <w:lvlJc w:val="left"/>
      <w:pPr>
        <w:ind w:left="4680" w:hanging="360"/>
      </w:pPr>
    </w:lvl>
    <w:lvl w:ilvl="5" w:tplc="3EE2C32A" w:tentative="1">
      <w:start w:val="1"/>
      <w:numFmt w:val="lowerRoman"/>
      <w:lvlText w:val="%6."/>
      <w:lvlJc w:val="right"/>
      <w:pPr>
        <w:ind w:left="5400" w:hanging="180"/>
      </w:pPr>
    </w:lvl>
    <w:lvl w:ilvl="6" w:tplc="92E02058" w:tentative="1">
      <w:start w:val="1"/>
      <w:numFmt w:val="decimal"/>
      <w:lvlText w:val="%7."/>
      <w:lvlJc w:val="left"/>
      <w:pPr>
        <w:ind w:left="6120" w:hanging="360"/>
      </w:pPr>
    </w:lvl>
    <w:lvl w:ilvl="7" w:tplc="2382AD96" w:tentative="1">
      <w:start w:val="1"/>
      <w:numFmt w:val="lowerLetter"/>
      <w:lvlText w:val="%8."/>
      <w:lvlJc w:val="left"/>
      <w:pPr>
        <w:ind w:left="6840" w:hanging="360"/>
      </w:pPr>
    </w:lvl>
    <w:lvl w:ilvl="8" w:tplc="FD00A0F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74F31C4"/>
    <w:multiLevelType w:val="hybridMultilevel"/>
    <w:tmpl w:val="8D9616F6"/>
    <w:lvl w:ilvl="0" w:tplc="C1A45AC4">
      <w:start w:val="1"/>
      <w:numFmt w:val="decimal"/>
      <w:lvlText w:val="%1)"/>
      <w:lvlJc w:val="left"/>
      <w:pPr>
        <w:ind w:left="1080" w:hanging="360"/>
      </w:pPr>
    </w:lvl>
    <w:lvl w:ilvl="1" w:tplc="908259A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BEDA3BAA" w:tentative="1">
      <w:start w:val="1"/>
      <w:numFmt w:val="lowerRoman"/>
      <w:lvlText w:val="%3."/>
      <w:lvlJc w:val="right"/>
      <w:pPr>
        <w:ind w:left="2520" w:hanging="180"/>
      </w:pPr>
    </w:lvl>
    <w:lvl w:ilvl="3" w:tplc="70E6A9E6" w:tentative="1">
      <w:start w:val="1"/>
      <w:numFmt w:val="decimal"/>
      <w:lvlText w:val="%4."/>
      <w:lvlJc w:val="left"/>
      <w:pPr>
        <w:ind w:left="3240" w:hanging="360"/>
      </w:pPr>
    </w:lvl>
    <w:lvl w:ilvl="4" w:tplc="66BA5BEE" w:tentative="1">
      <w:start w:val="1"/>
      <w:numFmt w:val="lowerLetter"/>
      <w:lvlText w:val="%5."/>
      <w:lvlJc w:val="left"/>
      <w:pPr>
        <w:ind w:left="3960" w:hanging="360"/>
      </w:pPr>
    </w:lvl>
    <w:lvl w:ilvl="5" w:tplc="18BC4428" w:tentative="1">
      <w:start w:val="1"/>
      <w:numFmt w:val="lowerRoman"/>
      <w:lvlText w:val="%6."/>
      <w:lvlJc w:val="right"/>
      <w:pPr>
        <w:ind w:left="4680" w:hanging="180"/>
      </w:pPr>
    </w:lvl>
    <w:lvl w:ilvl="6" w:tplc="396C5B94" w:tentative="1">
      <w:start w:val="1"/>
      <w:numFmt w:val="decimal"/>
      <w:lvlText w:val="%7."/>
      <w:lvlJc w:val="left"/>
      <w:pPr>
        <w:ind w:left="5400" w:hanging="360"/>
      </w:pPr>
    </w:lvl>
    <w:lvl w:ilvl="7" w:tplc="AC9A01AC" w:tentative="1">
      <w:start w:val="1"/>
      <w:numFmt w:val="lowerLetter"/>
      <w:lvlText w:val="%8."/>
      <w:lvlJc w:val="left"/>
      <w:pPr>
        <w:ind w:left="6120" w:hanging="360"/>
      </w:pPr>
    </w:lvl>
    <w:lvl w:ilvl="8" w:tplc="5CBE54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118BE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F462F5"/>
    <w:multiLevelType w:val="hybridMultilevel"/>
    <w:tmpl w:val="5FAE22E0"/>
    <w:lvl w:ilvl="0" w:tplc="162E3CA8">
      <w:start w:val="1"/>
      <w:numFmt w:val="decimal"/>
      <w:lvlText w:val="%1."/>
      <w:lvlJc w:val="left"/>
      <w:pPr>
        <w:ind w:left="2592" w:hanging="360"/>
      </w:pPr>
    </w:lvl>
    <w:lvl w:ilvl="1" w:tplc="6F9050F6" w:tentative="1">
      <w:start w:val="1"/>
      <w:numFmt w:val="lowerLetter"/>
      <w:lvlText w:val="%2."/>
      <w:lvlJc w:val="left"/>
      <w:pPr>
        <w:ind w:left="3312" w:hanging="360"/>
      </w:pPr>
    </w:lvl>
    <w:lvl w:ilvl="2" w:tplc="56DC8FAA" w:tentative="1">
      <w:start w:val="1"/>
      <w:numFmt w:val="lowerRoman"/>
      <w:lvlText w:val="%3."/>
      <w:lvlJc w:val="right"/>
      <w:pPr>
        <w:ind w:left="4032" w:hanging="180"/>
      </w:pPr>
    </w:lvl>
    <w:lvl w:ilvl="3" w:tplc="13286620" w:tentative="1">
      <w:start w:val="1"/>
      <w:numFmt w:val="decimal"/>
      <w:lvlText w:val="%4."/>
      <w:lvlJc w:val="left"/>
      <w:pPr>
        <w:ind w:left="4752" w:hanging="360"/>
      </w:pPr>
    </w:lvl>
    <w:lvl w:ilvl="4" w:tplc="349497EA" w:tentative="1">
      <w:start w:val="1"/>
      <w:numFmt w:val="lowerLetter"/>
      <w:lvlText w:val="%5."/>
      <w:lvlJc w:val="left"/>
      <w:pPr>
        <w:ind w:left="5472" w:hanging="360"/>
      </w:pPr>
    </w:lvl>
    <w:lvl w:ilvl="5" w:tplc="7210371A" w:tentative="1">
      <w:start w:val="1"/>
      <w:numFmt w:val="lowerRoman"/>
      <w:lvlText w:val="%6."/>
      <w:lvlJc w:val="right"/>
      <w:pPr>
        <w:ind w:left="6192" w:hanging="180"/>
      </w:pPr>
    </w:lvl>
    <w:lvl w:ilvl="6" w:tplc="7052713C" w:tentative="1">
      <w:start w:val="1"/>
      <w:numFmt w:val="decimal"/>
      <w:lvlText w:val="%7."/>
      <w:lvlJc w:val="left"/>
      <w:pPr>
        <w:ind w:left="6912" w:hanging="360"/>
      </w:pPr>
    </w:lvl>
    <w:lvl w:ilvl="7" w:tplc="8C225638" w:tentative="1">
      <w:start w:val="1"/>
      <w:numFmt w:val="lowerLetter"/>
      <w:lvlText w:val="%8."/>
      <w:lvlJc w:val="left"/>
      <w:pPr>
        <w:ind w:left="7632" w:hanging="360"/>
      </w:pPr>
    </w:lvl>
    <w:lvl w:ilvl="8" w:tplc="3BAA6A0C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3" w15:restartNumberingAfterBreak="0">
    <w:nsid w:val="5C655E2A"/>
    <w:multiLevelType w:val="hybridMultilevel"/>
    <w:tmpl w:val="65D28734"/>
    <w:lvl w:ilvl="0" w:tplc="3F504FA6">
      <w:start w:val="1"/>
      <w:numFmt w:val="lowerLetter"/>
      <w:lvlText w:val="%1)"/>
      <w:lvlJc w:val="left"/>
      <w:pPr>
        <w:ind w:left="864" w:hanging="360"/>
      </w:pPr>
    </w:lvl>
    <w:lvl w:ilvl="1" w:tplc="2376C91C">
      <w:start w:val="1"/>
      <w:numFmt w:val="lowerLetter"/>
      <w:lvlText w:val="%2."/>
      <w:lvlJc w:val="left"/>
      <w:pPr>
        <w:ind w:left="1584" w:hanging="360"/>
      </w:pPr>
    </w:lvl>
    <w:lvl w:ilvl="2" w:tplc="BDC4BB0C" w:tentative="1">
      <w:start w:val="1"/>
      <w:numFmt w:val="lowerRoman"/>
      <w:lvlText w:val="%3."/>
      <w:lvlJc w:val="right"/>
      <w:pPr>
        <w:ind w:left="2304" w:hanging="180"/>
      </w:pPr>
    </w:lvl>
    <w:lvl w:ilvl="3" w:tplc="6E44B9DC" w:tentative="1">
      <w:start w:val="1"/>
      <w:numFmt w:val="decimal"/>
      <w:lvlText w:val="%4."/>
      <w:lvlJc w:val="left"/>
      <w:pPr>
        <w:ind w:left="3024" w:hanging="360"/>
      </w:pPr>
    </w:lvl>
    <w:lvl w:ilvl="4" w:tplc="C27A591C" w:tentative="1">
      <w:start w:val="1"/>
      <w:numFmt w:val="lowerLetter"/>
      <w:lvlText w:val="%5."/>
      <w:lvlJc w:val="left"/>
      <w:pPr>
        <w:ind w:left="3744" w:hanging="360"/>
      </w:pPr>
    </w:lvl>
    <w:lvl w:ilvl="5" w:tplc="E1DC7106" w:tentative="1">
      <w:start w:val="1"/>
      <w:numFmt w:val="lowerRoman"/>
      <w:lvlText w:val="%6."/>
      <w:lvlJc w:val="right"/>
      <w:pPr>
        <w:ind w:left="4464" w:hanging="180"/>
      </w:pPr>
    </w:lvl>
    <w:lvl w:ilvl="6" w:tplc="63C4BE40" w:tentative="1">
      <w:start w:val="1"/>
      <w:numFmt w:val="decimal"/>
      <w:lvlText w:val="%7."/>
      <w:lvlJc w:val="left"/>
      <w:pPr>
        <w:ind w:left="5184" w:hanging="360"/>
      </w:pPr>
    </w:lvl>
    <w:lvl w:ilvl="7" w:tplc="2E84D2A8" w:tentative="1">
      <w:start w:val="1"/>
      <w:numFmt w:val="lowerLetter"/>
      <w:lvlText w:val="%8."/>
      <w:lvlJc w:val="left"/>
      <w:pPr>
        <w:ind w:left="5904" w:hanging="360"/>
      </w:pPr>
    </w:lvl>
    <w:lvl w:ilvl="8" w:tplc="22E4107A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5F5B7409"/>
    <w:multiLevelType w:val="hybridMultilevel"/>
    <w:tmpl w:val="4E907E64"/>
    <w:lvl w:ilvl="0" w:tplc="01043354">
      <w:start w:val="1"/>
      <w:numFmt w:val="lowerLetter"/>
      <w:lvlText w:val="%1)"/>
      <w:lvlJc w:val="left"/>
      <w:pPr>
        <w:ind w:left="1080" w:hanging="360"/>
      </w:pPr>
    </w:lvl>
    <w:lvl w:ilvl="1" w:tplc="8A6E25E8">
      <w:start w:val="1"/>
      <w:numFmt w:val="lowerLetter"/>
      <w:lvlText w:val="%2)"/>
      <w:lvlJc w:val="left"/>
      <w:pPr>
        <w:ind w:left="1800" w:hanging="360"/>
      </w:pPr>
    </w:lvl>
    <w:lvl w:ilvl="2" w:tplc="9078F01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D4FA11EA" w:tentative="1">
      <w:start w:val="1"/>
      <w:numFmt w:val="decimal"/>
      <w:lvlText w:val="%4."/>
      <w:lvlJc w:val="left"/>
      <w:pPr>
        <w:ind w:left="3240" w:hanging="360"/>
      </w:pPr>
    </w:lvl>
    <w:lvl w:ilvl="4" w:tplc="8646D27A" w:tentative="1">
      <w:start w:val="1"/>
      <w:numFmt w:val="lowerLetter"/>
      <w:lvlText w:val="%5."/>
      <w:lvlJc w:val="left"/>
      <w:pPr>
        <w:ind w:left="3960" w:hanging="360"/>
      </w:pPr>
    </w:lvl>
    <w:lvl w:ilvl="5" w:tplc="28EC66D6" w:tentative="1">
      <w:start w:val="1"/>
      <w:numFmt w:val="lowerRoman"/>
      <w:lvlText w:val="%6."/>
      <w:lvlJc w:val="right"/>
      <w:pPr>
        <w:ind w:left="4680" w:hanging="180"/>
      </w:pPr>
    </w:lvl>
    <w:lvl w:ilvl="6" w:tplc="BA12B840" w:tentative="1">
      <w:start w:val="1"/>
      <w:numFmt w:val="decimal"/>
      <w:lvlText w:val="%7."/>
      <w:lvlJc w:val="left"/>
      <w:pPr>
        <w:ind w:left="5400" w:hanging="360"/>
      </w:pPr>
    </w:lvl>
    <w:lvl w:ilvl="7" w:tplc="F68275FA" w:tentative="1">
      <w:start w:val="1"/>
      <w:numFmt w:val="lowerLetter"/>
      <w:lvlText w:val="%8."/>
      <w:lvlJc w:val="left"/>
      <w:pPr>
        <w:ind w:left="6120" w:hanging="360"/>
      </w:pPr>
    </w:lvl>
    <w:lvl w:ilvl="8" w:tplc="7DA6EF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F14D5B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6246EC"/>
    <w:multiLevelType w:val="hybridMultilevel"/>
    <w:tmpl w:val="ED741D12"/>
    <w:lvl w:ilvl="0" w:tplc="790C1E10">
      <w:start w:val="1"/>
      <w:numFmt w:val="lowerLetter"/>
      <w:lvlText w:val="%1)"/>
      <w:lvlJc w:val="left"/>
      <w:pPr>
        <w:ind w:left="1800" w:hanging="360"/>
      </w:pPr>
    </w:lvl>
    <w:lvl w:ilvl="1" w:tplc="99B8A5A0" w:tentative="1">
      <w:start w:val="1"/>
      <w:numFmt w:val="lowerLetter"/>
      <w:lvlText w:val="%2."/>
      <w:lvlJc w:val="left"/>
      <w:pPr>
        <w:ind w:left="2520" w:hanging="360"/>
      </w:pPr>
    </w:lvl>
    <w:lvl w:ilvl="2" w:tplc="95A66FEE" w:tentative="1">
      <w:start w:val="1"/>
      <w:numFmt w:val="lowerRoman"/>
      <w:lvlText w:val="%3."/>
      <w:lvlJc w:val="right"/>
      <w:pPr>
        <w:ind w:left="3240" w:hanging="180"/>
      </w:pPr>
    </w:lvl>
    <w:lvl w:ilvl="3" w:tplc="7B389062" w:tentative="1">
      <w:start w:val="1"/>
      <w:numFmt w:val="decimal"/>
      <w:lvlText w:val="%4."/>
      <w:lvlJc w:val="left"/>
      <w:pPr>
        <w:ind w:left="3960" w:hanging="360"/>
      </w:pPr>
    </w:lvl>
    <w:lvl w:ilvl="4" w:tplc="9A6CCEFA" w:tentative="1">
      <w:start w:val="1"/>
      <w:numFmt w:val="lowerLetter"/>
      <w:lvlText w:val="%5."/>
      <w:lvlJc w:val="left"/>
      <w:pPr>
        <w:ind w:left="4680" w:hanging="360"/>
      </w:pPr>
    </w:lvl>
    <w:lvl w:ilvl="5" w:tplc="E3F26700" w:tentative="1">
      <w:start w:val="1"/>
      <w:numFmt w:val="lowerRoman"/>
      <w:lvlText w:val="%6."/>
      <w:lvlJc w:val="right"/>
      <w:pPr>
        <w:ind w:left="5400" w:hanging="180"/>
      </w:pPr>
    </w:lvl>
    <w:lvl w:ilvl="6" w:tplc="C374EAAC" w:tentative="1">
      <w:start w:val="1"/>
      <w:numFmt w:val="decimal"/>
      <w:lvlText w:val="%7."/>
      <w:lvlJc w:val="left"/>
      <w:pPr>
        <w:ind w:left="6120" w:hanging="360"/>
      </w:pPr>
    </w:lvl>
    <w:lvl w:ilvl="7" w:tplc="8F2C1FDA" w:tentative="1">
      <w:start w:val="1"/>
      <w:numFmt w:val="lowerLetter"/>
      <w:lvlText w:val="%8."/>
      <w:lvlJc w:val="left"/>
      <w:pPr>
        <w:ind w:left="6840" w:hanging="360"/>
      </w:pPr>
    </w:lvl>
    <w:lvl w:ilvl="8" w:tplc="499431D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82D64DB"/>
    <w:multiLevelType w:val="hybridMultilevel"/>
    <w:tmpl w:val="012EA962"/>
    <w:lvl w:ilvl="0" w:tplc="66C27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80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C8C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2F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845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29E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0C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A61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06D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5384E"/>
    <w:multiLevelType w:val="hybridMultilevel"/>
    <w:tmpl w:val="A8B22576"/>
    <w:lvl w:ilvl="0" w:tplc="93965E8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A886A274" w:tentative="1">
      <w:start w:val="1"/>
      <w:numFmt w:val="lowerLetter"/>
      <w:lvlText w:val="%2."/>
      <w:lvlJc w:val="left"/>
      <w:pPr>
        <w:ind w:left="2304" w:hanging="360"/>
      </w:pPr>
    </w:lvl>
    <w:lvl w:ilvl="2" w:tplc="AFF4A852" w:tentative="1">
      <w:start w:val="1"/>
      <w:numFmt w:val="lowerRoman"/>
      <w:lvlText w:val="%3."/>
      <w:lvlJc w:val="right"/>
      <w:pPr>
        <w:ind w:left="3024" w:hanging="180"/>
      </w:pPr>
    </w:lvl>
    <w:lvl w:ilvl="3" w:tplc="EE281DD0" w:tentative="1">
      <w:start w:val="1"/>
      <w:numFmt w:val="decimal"/>
      <w:lvlText w:val="%4."/>
      <w:lvlJc w:val="left"/>
      <w:pPr>
        <w:ind w:left="3744" w:hanging="360"/>
      </w:pPr>
    </w:lvl>
    <w:lvl w:ilvl="4" w:tplc="1A16033C" w:tentative="1">
      <w:start w:val="1"/>
      <w:numFmt w:val="lowerLetter"/>
      <w:lvlText w:val="%5."/>
      <w:lvlJc w:val="left"/>
      <w:pPr>
        <w:ind w:left="4464" w:hanging="360"/>
      </w:pPr>
    </w:lvl>
    <w:lvl w:ilvl="5" w:tplc="9620D18C" w:tentative="1">
      <w:start w:val="1"/>
      <w:numFmt w:val="lowerRoman"/>
      <w:lvlText w:val="%6."/>
      <w:lvlJc w:val="right"/>
      <w:pPr>
        <w:ind w:left="5184" w:hanging="180"/>
      </w:pPr>
    </w:lvl>
    <w:lvl w:ilvl="6" w:tplc="8A6240D4" w:tentative="1">
      <w:start w:val="1"/>
      <w:numFmt w:val="decimal"/>
      <w:lvlText w:val="%7."/>
      <w:lvlJc w:val="left"/>
      <w:pPr>
        <w:ind w:left="5904" w:hanging="360"/>
      </w:pPr>
    </w:lvl>
    <w:lvl w:ilvl="7" w:tplc="7B8AC7D8" w:tentative="1">
      <w:start w:val="1"/>
      <w:numFmt w:val="lowerLetter"/>
      <w:lvlText w:val="%8."/>
      <w:lvlJc w:val="left"/>
      <w:pPr>
        <w:ind w:left="6624" w:hanging="360"/>
      </w:pPr>
    </w:lvl>
    <w:lvl w:ilvl="8" w:tplc="5268DD00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6CF12179"/>
    <w:multiLevelType w:val="hybridMultilevel"/>
    <w:tmpl w:val="B15E0A64"/>
    <w:lvl w:ilvl="0" w:tplc="98126E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BB0B59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FAE7C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B1A5F2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D5E319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3C466F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A6E35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24C1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469FD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6A1CD8"/>
    <w:multiLevelType w:val="hybridMultilevel"/>
    <w:tmpl w:val="98C89ADC"/>
    <w:lvl w:ilvl="0" w:tplc="7A60197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4FEEC35C" w:tentative="1">
      <w:start w:val="1"/>
      <w:numFmt w:val="lowerLetter"/>
      <w:lvlText w:val="%2."/>
      <w:lvlJc w:val="left"/>
      <w:pPr>
        <w:ind w:left="2520" w:hanging="360"/>
      </w:pPr>
    </w:lvl>
    <w:lvl w:ilvl="2" w:tplc="4956C5E6" w:tentative="1">
      <w:start w:val="1"/>
      <w:numFmt w:val="lowerRoman"/>
      <w:lvlText w:val="%3."/>
      <w:lvlJc w:val="right"/>
      <w:pPr>
        <w:ind w:left="3240" w:hanging="180"/>
      </w:pPr>
    </w:lvl>
    <w:lvl w:ilvl="3" w:tplc="C4941EF4" w:tentative="1">
      <w:start w:val="1"/>
      <w:numFmt w:val="decimal"/>
      <w:lvlText w:val="%4."/>
      <w:lvlJc w:val="left"/>
      <w:pPr>
        <w:ind w:left="3960" w:hanging="360"/>
      </w:pPr>
    </w:lvl>
    <w:lvl w:ilvl="4" w:tplc="D7E03586" w:tentative="1">
      <w:start w:val="1"/>
      <w:numFmt w:val="lowerLetter"/>
      <w:lvlText w:val="%5."/>
      <w:lvlJc w:val="left"/>
      <w:pPr>
        <w:ind w:left="4680" w:hanging="360"/>
      </w:pPr>
    </w:lvl>
    <w:lvl w:ilvl="5" w:tplc="A0D6C2AA" w:tentative="1">
      <w:start w:val="1"/>
      <w:numFmt w:val="lowerRoman"/>
      <w:lvlText w:val="%6."/>
      <w:lvlJc w:val="right"/>
      <w:pPr>
        <w:ind w:left="5400" w:hanging="180"/>
      </w:pPr>
    </w:lvl>
    <w:lvl w:ilvl="6" w:tplc="9DE03E5E" w:tentative="1">
      <w:start w:val="1"/>
      <w:numFmt w:val="decimal"/>
      <w:lvlText w:val="%7."/>
      <w:lvlJc w:val="left"/>
      <w:pPr>
        <w:ind w:left="6120" w:hanging="360"/>
      </w:pPr>
    </w:lvl>
    <w:lvl w:ilvl="7" w:tplc="EDE4C7DC" w:tentative="1">
      <w:start w:val="1"/>
      <w:numFmt w:val="lowerLetter"/>
      <w:lvlText w:val="%8."/>
      <w:lvlJc w:val="left"/>
      <w:pPr>
        <w:ind w:left="6840" w:hanging="360"/>
      </w:pPr>
    </w:lvl>
    <w:lvl w:ilvl="8" w:tplc="DBDACD4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A597812"/>
    <w:multiLevelType w:val="multilevel"/>
    <w:tmpl w:val="5C3A965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F7203D"/>
    <w:multiLevelType w:val="hybridMultilevel"/>
    <w:tmpl w:val="ED741D12"/>
    <w:lvl w:ilvl="0" w:tplc="9ADEC732">
      <w:start w:val="1"/>
      <w:numFmt w:val="lowerLetter"/>
      <w:lvlText w:val="%1)"/>
      <w:lvlJc w:val="left"/>
      <w:pPr>
        <w:ind w:left="1800" w:hanging="360"/>
      </w:pPr>
    </w:lvl>
    <w:lvl w:ilvl="1" w:tplc="57E8DA1E" w:tentative="1">
      <w:start w:val="1"/>
      <w:numFmt w:val="lowerLetter"/>
      <w:lvlText w:val="%2."/>
      <w:lvlJc w:val="left"/>
      <w:pPr>
        <w:ind w:left="2520" w:hanging="360"/>
      </w:pPr>
    </w:lvl>
    <w:lvl w:ilvl="2" w:tplc="410AAB60" w:tentative="1">
      <w:start w:val="1"/>
      <w:numFmt w:val="lowerRoman"/>
      <w:lvlText w:val="%3."/>
      <w:lvlJc w:val="right"/>
      <w:pPr>
        <w:ind w:left="3240" w:hanging="180"/>
      </w:pPr>
    </w:lvl>
    <w:lvl w:ilvl="3" w:tplc="2CD2C496" w:tentative="1">
      <w:start w:val="1"/>
      <w:numFmt w:val="decimal"/>
      <w:lvlText w:val="%4."/>
      <w:lvlJc w:val="left"/>
      <w:pPr>
        <w:ind w:left="3960" w:hanging="360"/>
      </w:pPr>
    </w:lvl>
    <w:lvl w:ilvl="4" w:tplc="3DC88556" w:tentative="1">
      <w:start w:val="1"/>
      <w:numFmt w:val="lowerLetter"/>
      <w:lvlText w:val="%5."/>
      <w:lvlJc w:val="left"/>
      <w:pPr>
        <w:ind w:left="4680" w:hanging="360"/>
      </w:pPr>
    </w:lvl>
    <w:lvl w:ilvl="5" w:tplc="DD688D26" w:tentative="1">
      <w:start w:val="1"/>
      <w:numFmt w:val="lowerRoman"/>
      <w:lvlText w:val="%6."/>
      <w:lvlJc w:val="right"/>
      <w:pPr>
        <w:ind w:left="5400" w:hanging="180"/>
      </w:pPr>
    </w:lvl>
    <w:lvl w:ilvl="6" w:tplc="7340BDB0" w:tentative="1">
      <w:start w:val="1"/>
      <w:numFmt w:val="decimal"/>
      <w:lvlText w:val="%7."/>
      <w:lvlJc w:val="left"/>
      <w:pPr>
        <w:ind w:left="6120" w:hanging="360"/>
      </w:pPr>
    </w:lvl>
    <w:lvl w:ilvl="7" w:tplc="87540736" w:tentative="1">
      <w:start w:val="1"/>
      <w:numFmt w:val="lowerLetter"/>
      <w:lvlText w:val="%8."/>
      <w:lvlJc w:val="left"/>
      <w:pPr>
        <w:ind w:left="6840" w:hanging="360"/>
      </w:pPr>
    </w:lvl>
    <w:lvl w:ilvl="8" w:tplc="1E56450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92492B"/>
    <w:multiLevelType w:val="hybridMultilevel"/>
    <w:tmpl w:val="8D9616F6"/>
    <w:lvl w:ilvl="0" w:tplc="E0084BCC">
      <w:start w:val="1"/>
      <w:numFmt w:val="decimal"/>
      <w:lvlText w:val="%1)"/>
      <w:lvlJc w:val="left"/>
      <w:pPr>
        <w:ind w:left="1080" w:hanging="360"/>
      </w:pPr>
    </w:lvl>
    <w:lvl w:ilvl="1" w:tplc="2ACE944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56E0FB2" w:tentative="1">
      <w:start w:val="1"/>
      <w:numFmt w:val="lowerRoman"/>
      <w:lvlText w:val="%3."/>
      <w:lvlJc w:val="right"/>
      <w:pPr>
        <w:ind w:left="2520" w:hanging="180"/>
      </w:pPr>
    </w:lvl>
    <w:lvl w:ilvl="3" w:tplc="8B34BEF6" w:tentative="1">
      <w:start w:val="1"/>
      <w:numFmt w:val="decimal"/>
      <w:lvlText w:val="%4."/>
      <w:lvlJc w:val="left"/>
      <w:pPr>
        <w:ind w:left="3240" w:hanging="360"/>
      </w:pPr>
    </w:lvl>
    <w:lvl w:ilvl="4" w:tplc="5D9EE0DA" w:tentative="1">
      <w:start w:val="1"/>
      <w:numFmt w:val="lowerLetter"/>
      <w:lvlText w:val="%5."/>
      <w:lvlJc w:val="left"/>
      <w:pPr>
        <w:ind w:left="3960" w:hanging="360"/>
      </w:pPr>
    </w:lvl>
    <w:lvl w:ilvl="5" w:tplc="CD863228" w:tentative="1">
      <w:start w:val="1"/>
      <w:numFmt w:val="lowerRoman"/>
      <w:lvlText w:val="%6."/>
      <w:lvlJc w:val="right"/>
      <w:pPr>
        <w:ind w:left="4680" w:hanging="180"/>
      </w:pPr>
    </w:lvl>
    <w:lvl w:ilvl="6" w:tplc="7110E912" w:tentative="1">
      <w:start w:val="1"/>
      <w:numFmt w:val="decimal"/>
      <w:lvlText w:val="%7."/>
      <w:lvlJc w:val="left"/>
      <w:pPr>
        <w:ind w:left="5400" w:hanging="360"/>
      </w:pPr>
    </w:lvl>
    <w:lvl w:ilvl="7" w:tplc="0DE2D536" w:tentative="1">
      <w:start w:val="1"/>
      <w:numFmt w:val="lowerLetter"/>
      <w:lvlText w:val="%8."/>
      <w:lvlJc w:val="left"/>
      <w:pPr>
        <w:ind w:left="6120" w:hanging="360"/>
      </w:pPr>
    </w:lvl>
    <w:lvl w:ilvl="8" w:tplc="02B07C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8427A"/>
    <w:multiLevelType w:val="hybridMultilevel"/>
    <w:tmpl w:val="12A6C470"/>
    <w:lvl w:ilvl="0" w:tplc="BA8624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54CB2E" w:tentative="1">
      <w:start w:val="1"/>
      <w:numFmt w:val="lowerLetter"/>
      <w:lvlText w:val="%2."/>
      <w:lvlJc w:val="left"/>
      <w:pPr>
        <w:ind w:left="1440" w:hanging="360"/>
      </w:pPr>
    </w:lvl>
    <w:lvl w:ilvl="2" w:tplc="225A4E1C" w:tentative="1">
      <w:start w:val="1"/>
      <w:numFmt w:val="lowerRoman"/>
      <w:lvlText w:val="%3."/>
      <w:lvlJc w:val="right"/>
      <w:pPr>
        <w:ind w:left="2160" w:hanging="180"/>
      </w:pPr>
    </w:lvl>
    <w:lvl w:ilvl="3" w:tplc="DA6CDD0C" w:tentative="1">
      <w:start w:val="1"/>
      <w:numFmt w:val="decimal"/>
      <w:lvlText w:val="%4."/>
      <w:lvlJc w:val="left"/>
      <w:pPr>
        <w:ind w:left="2880" w:hanging="360"/>
      </w:pPr>
    </w:lvl>
    <w:lvl w:ilvl="4" w:tplc="A454D81E" w:tentative="1">
      <w:start w:val="1"/>
      <w:numFmt w:val="lowerLetter"/>
      <w:lvlText w:val="%5."/>
      <w:lvlJc w:val="left"/>
      <w:pPr>
        <w:ind w:left="3600" w:hanging="360"/>
      </w:pPr>
    </w:lvl>
    <w:lvl w:ilvl="5" w:tplc="8B384CC4" w:tentative="1">
      <w:start w:val="1"/>
      <w:numFmt w:val="lowerRoman"/>
      <w:lvlText w:val="%6."/>
      <w:lvlJc w:val="right"/>
      <w:pPr>
        <w:ind w:left="4320" w:hanging="180"/>
      </w:pPr>
    </w:lvl>
    <w:lvl w:ilvl="6" w:tplc="5DD41484" w:tentative="1">
      <w:start w:val="1"/>
      <w:numFmt w:val="decimal"/>
      <w:lvlText w:val="%7."/>
      <w:lvlJc w:val="left"/>
      <w:pPr>
        <w:ind w:left="5040" w:hanging="360"/>
      </w:pPr>
    </w:lvl>
    <w:lvl w:ilvl="7" w:tplc="6706C5AC" w:tentative="1">
      <w:start w:val="1"/>
      <w:numFmt w:val="lowerLetter"/>
      <w:lvlText w:val="%8."/>
      <w:lvlJc w:val="left"/>
      <w:pPr>
        <w:ind w:left="5760" w:hanging="360"/>
      </w:pPr>
    </w:lvl>
    <w:lvl w:ilvl="8" w:tplc="0E0A12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7"/>
  </w:num>
  <w:num w:numId="5">
    <w:abstractNumId w:val="20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8"/>
  </w:num>
  <w:num w:numId="11">
    <w:abstractNumId w:val="14"/>
  </w:num>
  <w:num w:numId="12">
    <w:abstractNumId w:val="6"/>
  </w:num>
  <w:num w:numId="13">
    <w:abstractNumId w:val="0"/>
  </w:num>
  <w:num w:numId="14">
    <w:abstractNumId w:val="1"/>
  </w:num>
  <w:num w:numId="15">
    <w:abstractNumId w:val="19"/>
  </w:num>
  <w:num w:numId="16">
    <w:abstractNumId w:val="8"/>
  </w:num>
  <w:num w:numId="17">
    <w:abstractNumId w:val="15"/>
  </w:num>
  <w:num w:numId="18">
    <w:abstractNumId w:val="4"/>
  </w:num>
  <w:num w:numId="19">
    <w:abstractNumId w:val="9"/>
  </w:num>
  <w:num w:numId="20">
    <w:abstractNumId w:val="10"/>
  </w:num>
  <w:num w:numId="21">
    <w:abstractNumId w:val="2"/>
  </w:num>
  <w:num w:numId="22">
    <w:abstractNumId w:val="16"/>
  </w:num>
  <w:num w:numId="23">
    <w:abstractNumId w:val="23"/>
  </w:num>
  <w:num w:numId="24">
    <w:abstractNumId w:val="2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B1B"/>
    <w:rsid w:val="003A08B6"/>
    <w:rsid w:val="00E4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7172B-3F05-4C38-A074-62BA9BA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hHeadDes">
    <w:name w:val="SchHeadDes"/>
    <w:basedOn w:val="Normalny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1566-3AC7-421E-B778-8A0701F7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3598</Words>
  <Characters>21589</Characters>
  <Application>Microsoft Office Word</Application>
  <DocSecurity>0</DocSecurity>
  <Lines>179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Krych</dc:creator>
  <cp:lastModifiedBy>Karolina Szmajdzińska</cp:lastModifiedBy>
  <cp:revision>7</cp:revision>
  <dcterms:created xsi:type="dcterms:W3CDTF">2019-08-09T09:31:00Z</dcterms:created>
  <dcterms:modified xsi:type="dcterms:W3CDTF">2019-08-09T13:50:00Z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ABAAMV6B7YzPbaJxj40uKyGMKwQLQBLW88QTynDnKBeVebVV0YDsfL1W/yHKEDuZi7WL</vt:lpwstr>
  </property>
  <property fmtid="{D5CDD505-2E9C-101B-9397-08002B2CF9AE}" pid="3" name="MAIL_MSG_ID1">
    <vt:lpwstr>gFAA9xAl/vizjZhdDc5nfgoCL566AK2SP9BfjwDxt1uhhYpAmEP9PCcnsLYo9fvfgoPBGY3hwiUWS7GE
3WAseJHsF7+eLEW8qhxzWBbuEaGPz49fDIlCK/4Sb4swJ2BQpRkYlRp1g9OV+MWmFQboABiR5bwG
ddmNXIpuLghfFOz+o4dAQZ+egme8mFHaJUqEobm1k+N1MKEGDfHRSdn6Hq13qosGLsbjYvaXqRJY
T8tlI5YP7uPQhq8yZ</vt:lpwstr>
  </property>
  <property fmtid="{D5CDD505-2E9C-101B-9397-08002B2CF9AE}" pid="4" name="MAIL_MSG_ID2">
    <vt:lpwstr>yFv80xRJ/+Zladfdld2c1JCeTDemXUr7+ga1JWPHGe7sJQgZU2G8rBStgtb
mVDumQW61KVn3NThJcYmNLmnZ84/c9+3kWygmQ==</vt:lpwstr>
  </property>
  <property fmtid="{D5CDD505-2E9C-101B-9397-08002B2CF9AE}" pid="5" name="Plato EditorId">
    <vt:lpwstr>fc41a5ea-fcc0-49c7-84d6-915c20524e0e</vt:lpwstr>
  </property>
  <property fmtid="{D5CDD505-2E9C-101B-9397-08002B2CF9AE}" pid="6" name="RESPONSE_SENDER_NAME">
    <vt:lpwstr>4AAA9mrMv1QjWAuJQ4b5Y4KjJu28+5c124DP9iWViDf5SFsHkJYCtDmxzg==</vt:lpwstr>
  </property>
</Properties>
</file>